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auto"/>
          <w:sz w:val="36"/>
          <w:szCs w:val="36"/>
        </w:rPr>
      </w:pPr>
      <w:r>
        <w:rPr>
          <w:rFonts w:hint="eastAsia" w:ascii="仿宋" w:hAnsi="仿宋" w:eastAsia="仿宋"/>
          <w:b/>
          <w:color w:val="auto"/>
          <w:sz w:val="36"/>
          <w:szCs w:val="36"/>
          <w:lang w:eastAsia="zh-CN"/>
        </w:rPr>
        <w:t>土木与环境工程学院</w:t>
      </w:r>
      <w:r>
        <w:rPr>
          <w:rFonts w:hint="eastAsia" w:ascii="仿宋" w:hAnsi="仿宋" w:eastAsia="仿宋"/>
          <w:b/>
          <w:color w:val="auto"/>
          <w:sz w:val="36"/>
          <w:szCs w:val="36"/>
        </w:rPr>
        <w:t>2020年春季疫情防控期间</w:t>
      </w:r>
      <w:r>
        <w:rPr>
          <w:rFonts w:hint="eastAsia" w:ascii="仿宋" w:hAnsi="仿宋" w:eastAsia="仿宋"/>
          <w:b/>
          <w:color w:val="auto"/>
          <w:sz w:val="36"/>
          <w:szCs w:val="36"/>
          <w:lang w:eastAsia="zh-CN"/>
        </w:rPr>
        <w:t>毕业论文（设计）</w:t>
      </w:r>
      <w:r>
        <w:rPr>
          <w:rFonts w:hint="eastAsia" w:ascii="仿宋" w:hAnsi="仿宋" w:eastAsia="仿宋"/>
          <w:b/>
          <w:color w:val="auto"/>
          <w:sz w:val="36"/>
          <w:szCs w:val="36"/>
        </w:rPr>
        <w:t>工作实施方案</w:t>
      </w:r>
    </w:p>
    <w:p>
      <w:pPr>
        <w:rPr>
          <w:rFonts w:hint="eastAsia" w:ascii="仿宋" w:hAnsi="仿宋" w:eastAsia="仿宋"/>
          <w:color w:val="auto"/>
          <w:sz w:val="32"/>
          <w:szCs w:val="28"/>
        </w:rPr>
      </w:pPr>
    </w:p>
    <w:p>
      <w:pPr>
        <w:rPr>
          <w:rFonts w:ascii="仿宋" w:hAnsi="仿宋" w:eastAsia="仿宋"/>
          <w:color w:val="auto"/>
          <w:sz w:val="32"/>
          <w:szCs w:val="28"/>
        </w:rPr>
      </w:pPr>
      <w:r>
        <w:rPr>
          <w:rFonts w:ascii="仿宋" w:hAnsi="仿宋" w:eastAsia="仿宋"/>
          <w:color w:val="auto"/>
          <w:sz w:val="32"/>
          <w:szCs w:val="28"/>
        </w:rPr>
        <w:t>各</w:t>
      </w:r>
      <w:r>
        <w:rPr>
          <w:rFonts w:hint="eastAsia" w:ascii="仿宋" w:hAnsi="仿宋" w:eastAsia="仿宋"/>
          <w:color w:val="auto"/>
          <w:sz w:val="32"/>
          <w:szCs w:val="28"/>
          <w:lang w:eastAsia="zh-CN"/>
        </w:rPr>
        <w:t>系部、专任教师</w:t>
      </w:r>
      <w:r>
        <w:rPr>
          <w:rFonts w:hint="eastAsia" w:ascii="仿宋" w:hAnsi="仿宋" w:eastAsia="仿宋"/>
          <w:color w:val="auto"/>
          <w:sz w:val="32"/>
          <w:szCs w:val="28"/>
        </w:rPr>
        <w:t>：</w:t>
      </w:r>
    </w:p>
    <w:p>
      <w:pPr>
        <w:jc w:val="left"/>
        <w:rPr>
          <w:rFonts w:hint="eastAsia" w:ascii="仿宋" w:hAnsi="仿宋" w:eastAsia="仿宋"/>
          <w:color w:val="auto"/>
          <w:sz w:val="32"/>
          <w:szCs w:val="28"/>
        </w:rPr>
      </w:pPr>
      <w:r>
        <w:rPr>
          <w:rFonts w:hint="eastAsia" w:ascii="仿宋" w:hAnsi="仿宋" w:eastAsia="仿宋"/>
          <w:color w:val="auto"/>
          <w:sz w:val="32"/>
          <w:szCs w:val="28"/>
          <w:lang w:val="en-US" w:eastAsia="zh-CN"/>
        </w:rPr>
        <w:t xml:space="preserve">   </w:t>
      </w:r>
      <w:r>
        <w:rPr>
          <w:rFonts w:ascii="仿宋" w:hAnsi="仿宋" w:eastAsia="仿宋"/>
          <w:color w:val="auto"/>
          <w:sz w:val="32"/>
          <w:szCs w:val="28"/>
        </w:rPr>
        <w:t>为全力做好新型冠状病</w:t>
      </w:r>
      <w:r>
        <w:rPr>
          <w:rFonts w:hint="eastAsia" w:ascii="仿宋" w:hAnsi="仿宋" w:eastAsia="仿宋"/>
          <w:color w:val="auto"/>
          <w:sz w:val="32"/>
          <w:szCs w:val="28"/>
        </w:rPr>
        <w:t>毒感染的肺炎疫情防控工作，根据《湖南科技学院疫情防控期间教学组织总体方案》</w:t>
      </w:r>
      <w:r>
        <w:rPr>
          <w:rFonts w:hint="eastAsia" w:ascii="仿宋" w:hAnsi="仿宋" w:eastAsia="仿宋"/>
          <w:color w:val="auto"/>
          <w:sz w:val="32"/>
          <w:szCs w:val="28"/>
          <w:lang w:eastAsia="zh-CN"/>
        </w:rPr>
        <w:t>、《</w:t>
      </w:r>
      <w:r>
        <w:rPr>
          <w:rFonts w:hint="eastAsia" w:ascii="仿宋" w:hAnsi="仿宋" w:eastAsia="仿宋"/>
          <w:color w:val="auto"/>
          <w:sz w:val="32"/>
          <w:szCs w:val="28"/>
        </w:rPr>
        <w:t>湖南科技学院疫情防控期间线上教学工作实施方案</w:t>
      </w:r>
      <w:r>
        <w:rPr>
          <w:rFonts w:hint="eastAsia" w:ascii="仿宋" w:hAnsi="仿宋" w:eastAsia="仿宋"/>
          <w:color w:val="auto"/>
          <w:sz w:val="32"/>
          <w:szCs w:val="28"/>
          <w:lang w:eastAsia="zh-CN"/>
        </w:rPr>
        <w:t>》</w:t>
      </w:r>
      <w:r>
        <w:rPr>
          <w:rFonts w:hint="eastAsia" w:ascii="仿宋" w:hAnsi="仿宋" w:eastAsia="仿宋"/>
          <w:color w:val="auto"/>
          <w:sz w:val="32"/>
          <w:szCs w:val="28"/>
        </w:rPr>
        <w:t>及校疫情防控期间教学工作领导小组会议精神，科学组织2020届毕业论文（设计）教学工作</w:t>
      </w:r>
      <w:r>
        <w:rPr>
          <w:rFonts w:hint="eastAsia" w:ascii="仿宋" w:hAnsi="仿宋" w:eastAsia="仿宋"/>
          <w:color w:val="auto"/>
          <w:sz w:val="32"/>
          <w:szCs w:val="28"/>
          <w:lang w:eastAsia="zh-CN"/>
        </w:rPr>
        <w:t>，</w:t>
      </w:r>
      <w:r>
        <w:rPr>
          <w:rFonts w:hint="eastAsia" w:ascii="仿宋" w:hAnsi="仿宋" w:eastAsia="仿宋"/>
          <w:color w:val="auto"/>
          <w:sz w:val="32"/>
          <w:szCs w:val="28"/>
        </w:rPr>
        <w:t>做到</w:t>
      </w:r>
      <w:r>
        <w:rPr>
          <w:rFonts w:hint="eastAsia" w:ascii="仿宋" w:hAnsi="仿宋" w:eastAsia="仿宋"/>
          <w:color w:val="auto"/>
          <w:sz w:val="32"/>
          <w:szCs w:val="28"/>
          <w:lang w:val="en-US" w:eastAsia="zh-CN"/>
        </w:rPr>
        <w:t>指导进度不变，不延迟学生毕业</w:t>
      </w:r>
      <w:r>
        <w:rPr>
          <w:rFonts w:hint="eastAsia" w:ascii="仿宋" w:hAnsi="仿宋" w:eastAsia="仿宋"/>
          <w:color w:val="auto"/>
          <w:sz w:val="32"/>
          <w:szCs w:val="28"/>
        </w:rPr>
        <w:t>。</w:t>
      </w:r>
    </w:p>
    <w:p>
      <w:pPr>
        <w:ind w:firstLine="643" w:firstLineChars="200"/>
        <w:rPr>
          <w:rFonts w:hint="eastAsia" w:ascii="仿宋" w:hAnsi="仿宋" w:eastAsia="仿宋"/>
          <w:color w:val="auto"/>
          <w:sz w:val="32"/>
          <w:szCs w:val="28"/>
          <w:lang w:eastAsia="zh-CN"/>
        </w:rPr>
      </w:pPr>
      <w:r>
        <w:rPr>
          <w:rFonts w:hint="eastAsia" w:ascii="仿宋" w:hAnsi="仿宋" w:eastAsia="仿宋"/>
          <w:b/>
          <w:bCs/>
          <w:color w:val="auto"/>
          <w:sz w:val="32"/>
          <w:szCs w:val="28"/>
          <w:lang w:eastAsia="zh-CN"/>
        </w:rPr>
        <w:t>一、毕业论文（设计）指导</w:t>
      </w:r>
      <w:r>
        <w:rPr>
          <w:rFonts w:hint="eastAsia" w:ascii="仿宋" w:hAnsi="仿宋" w:eastAsia="仿宋"/>
          <w:b/>
          <w:bCs/>
          <w:color w:val="auto"/>
          <w:sz w:val="32"/>
          <w:szCs w:val="28"/>
        </w:rPr>
        <w:t>时间安排</w:t>
      </w:r>
      <w:r>
        <w:rPr>
          <w:rFonts w:hint="eastAsia" w:ascii="仿宋" w:hAnsi="仿宋" w:eastAsia="仿宋"/>
          <w:b/>
          <w:bCs/>
          <w:color w:val="auto"/>
          <w:sz w:val="32"/>
          <w:szCs w:val="28"/>
          <w:lang w:eastAsia="zh-CN"/>
        </w:rPr>
        <w:t>及要求</w:t>
      </w:r>
    </w:p>
    <w:tbl>
      <w:tblPr>
        <w:tblStyle w:val="4"/>
        <w:tblW w:w="10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eastAsiaTheme="minorEastAsia"/>
                <w:sz w:val="28"/>
                <w:szCs w:val="28"/>
                <w:lang w:val="en-US" w:eastAsia="zh-CN"/>
              </w:rPr>
            </w:pPr>
            <w:r>
              <w:rPr>
                <w:rFonts w:hint="eastAsia"/>
                <w:sz w:val="28"/>
                <w:szCs w:val="28"/>
                <w:lang w:val="en-US" w:eastAsia="zh-CN"/>
              </w:rPr>
              <w:t>开学前</w:t>
            </w:r>
          </w:p>
        </w:tc>
        <w:tc>
          <w:tcPr>
            <w:tcW w:w="6817" w:type="dxa"/>
            <w:noWrap w:val="0"/>
            <w:vAlign w:val="center"/>
          </w:tcPr>
          <w:p>
            <w:pPr>
              <w:spacing w:line="240" w:lineRule="auto"/>
              <w:ind w:firstLine="480" w:firstLineChars="200"/>
              <w:jc w:val="both"/>
              <w:rPr>
                <w:rFonts w:hint="eastAsia" w:eastAsiaTheme="minorEastAsia"/>
                <w:sz w:val="24"/>
                <w:szCs w:val="24"/>
                <w:lang w:val="en-US" w:eastAsia="zh-CN"/>
              </w:rPr>
            </w:pPr>
            <w:r>
              <w:rPr>
                <w:rFonts w:hint="eastAsia"/>
                <w:sz w:val="24"/>
                <w:szCs w:val="24"/>
                <w:lang w:val="en-US" w:eastAsia="zh-CN"/>
              </w:rPr>
              <w:t>指导老师督促学生进度，通过QQ、微信、电话、邮件等方式开展线上指导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lang w:val="en-US" w:eastAsia="zh-CN"/>
              </w:rPr>
            </w:pPr>
            <w:r>
              <w:rPr>
                <w:rFonts w:hint="eastAsia"/>
                <w:sz w:val="28"/>
                <w:szCs w:val="28"/>
                <w:lang w:val="en-US" w:eastAsia="zh-CN"/>
              </w:rPr>
              <w:t>3月20日前</w:t>
            </w:r>
          </w:p>
        </w:tc>
        <w:tc>
          <w:tcPr>
            <w:tcW w:w="6817" w:type="dxa"/>
            <w:noWrap w:val="0"/>
            <w:vAlign w:val="center"/>
          </w:tcPr>
          <w:p>
            <w:pPr>
              <w:numPr>
                <w:ilvl w:val="0"/>
                <w:numId w:val="0"/>
              </w:numPr>
              <w:spacing w:line="24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学生上交开题报告和开题记录，学院督导组检查，如此时因疫情防控要求仍未开学，则延迟到开学后第一周进行。</w:t>
            </w:r>
          </w:p>
          <w:p>
            <w:pPr>
              <w:numPr>
                <w:ilvl w:val="0"/>
                <w:numId w:val="0"/>
              </w:numPr>
              <w:spacing w:line="240" w:lineRule="auto"/>
              <w:ind w:firstLine="480" w:firstLineChars="200"/>
              <w:jc w:val="both"/>
              <w:rPr>
                <w:rFonts w:hint="eastAsia" w:ascii="宋体" w:hAnsi="宋体" w:eastAsia="宋体" w:cs="宋体"/>
                <w:sz w:val="24"/>
                <w:szCs w:val="24"/>
                <w:lang w:val="en-US" w:eastAsia="zh-CN"/>
              </w:rPr>
            </w:pPr>
            <w:r>
              <w:rPr>
                <w:rFonts w:hint="eastAsia"/>
                <w:sz w:val="24"/>
                <w:szCs w:val="24"/>
                <w:lang w:val="en-US" w:eastAsia="zh-CN"/>
              </w:rPr>
              <w:t>学院督导分专业举办</w:t>
            </w:r>
            <w:r>
              <w:rPr>
                <w:rFonts w:hint="eastAsia" w:ascii="宋体" w:hAnsi="宋体" w:eastAsia="宋体" w:cs="宋体"/>
                <w:sz w:val="24"/>
                <w:szCs w:val="24"/>
                <w:lang w:val="en-US" w:eastAsia="zh-CN"/>
              </w:rPr>
              <w:t>毕业论文（设计）攥写专题讲座，如此时仍未开学或有学生因地域隔离无法到校，则以网络直播的形式同步进行。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lang w:val="en-US" w:eastAsia="zh-CN"/>
              </w:rPr>
            </w:pPr>
            <w:r>
              <w:rPr>
                <w:rFonts w:hint="eastAsia"/>
                <w:sz w:val="28"/>
                <w:szCs w:val="28"/>
                <w:lang w:val="en-US" w:eastAsia="zh-CN"/>
              </w:rPr>
              <w:t>3月30日</w:t>
            </w:r>
          </w:p>
        </w:tc>
        <w:tc>
          <w:tcPr>
            <w:tcW w:w="6817" w:type="dxa"/>
            <w:noWrap w:val="0"/>
            <w:vAlign w:val="center"/>
          </w:tcPr>
          <w:p>
            <w:pPr>
              <w:numPr>
                <w:ilvl w:val="0"/>
                <w:numId w:val="0"/>
              </w:numPr>
              <w:spacing w:line="24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进行毕业论文（设计）中期检查，如仍未开学，则检查学生上交的电子稿，并保存好作为指导依据。如果已经开学，则要求学生上交这一阶段的打印稿，学院督导组复查。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eastAsiaTheme="minorEastAsia"/>
                <w:sz w:val="28"/>
                <w:szCs w:val="28"/>
                <w:lang w:val="en-US" w:eastAsia="zh-CN"/>
              </w:rPr>
            </w:pPr>
            <w:r>
              <w:rPr>
                <w:rFonts w:hint="eastAsia"/>
                <w:sz w:val="28"/>
                <w:szCs w:val="28"/>
                <w:lang w:val="en-US" w:eastAsia="zh-CN"/>
              </w:rPr>
              <w:t>4</w:t>
            </w:r>
            <w:r>
              <w:rPr>
                <w:rFonts w:hint="eastAsia"/>
                <w:sz w:val="28"/>
                <w:szCs w:val="28"/>
              </w:rPr>
              <w:t>月</w:t>
            </w:r>
            <w:r>
              <w:rPr>
                <w:rFonts w:hint="eastAsia"/>
                <w:sz w:val="28"/>
                <w:szCs w:val="28"/>
                <w:lang w:val="en-US" w:eastAsia="zh-CN"/>
              </w:rPr>
              <w:t>10</w:t>
            </w:r>
            <w:r>
              <w:rPr>
                <w:rFonts w:hint="eastAsia"/>
                <w:sz w:val="28"/>
                <w:szCs w:val="28"/>
              </w:rPr>
              <w:t>号前</w:t>
            </w:r>
          </w:p>
        </w:tc>
        <w:tc>
          <w:tcPr>
            <w:tcW w:w="6817" w:type="dxa"/>
            <w:noWrap w:val="0"/>
            <w:vAlign w:val="center"/>
          </w:tcPr>
          <w:p>
            <w:pPr>
              <w:numPr>
                <w:ilvl w:val="0"/>
                <w:numId w:val="0"/>
              </w:numPr>
              <w:spacing w:line="240" w:lineRule="auto"/>
              <w:ind w:firstLine="480" w:firstLineChars="200"/>
              <w:jc w:val="both"/>
              <w:rPr>
                <w:rFonts w:hint="eastAsia" w:eastAsiaTheme="minorEastAsia"/>
                <w:b/>
                <w:color w:val="FF0000"/>
                <w:sz w:val="24"/>
                <w:szCs w:val="24"/>
                <w:lang w:eastAsia="zh-CN"/>
              </w:rPr>
            </w:pPr>
            <w:r>
              <w:rPr>
                <w:rFonts w:hint="eastAsia"/>
                <w:sz w:val="24"/>
                <w:szCs w:val="24"/>
              </w:rPr>
              <w:t>学生完成</w:t>
            </w:r>
            <w:r>
              <w:rPr>
                <w:rFonts w:hint="eastAsia" w:ascii="宋体" w:hAnsi="宋体" w:eastAsia="宋体" w:cs="宋体"/>
                <w:sz w:val="24"/>
                <w:szCs w:val="24"/>
                <w:lang w:val="en-US" w:eastAsia="zh-CN"/>
              </w:rPr>
              <w:t>论文（设计）</w:t>
            </w:r>
            <w:r>
              <w:rPr>
                <w:rFonts w:hint="eastAsia"/>
                <w:sz w:val="24"/>
                <w:szCs w:val="24"/>
              </w:rPr>
              <w:t>初稿</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lang w:val="en-US" w:eastAsia="zh-CN"/>
              </w:rPr>
            </w:pPr>
            <w:r>
              <w:rPr>
                <w:rFonts w:hint="eastAsia"/>
                <w:sz w:val="28"/>
                <w:szCs w:val="28"/>
                <w:lang w:val="en-US" w:eastAsia="zh-CN"/>
              </w:rPr>
              <w:t>4月15日</w:t>
            </w:r>
          </w:p>
        </w:tc>
        <w:tc>
          <w:tcPr>
            <w:tcW w:w="6817" w:type="dxa"/>
            <w:noWrap w:val="0"/>
            <w:vAlign w:val="center"/>
          </w:tcPr>
          <w:p>
            <w:pPr>
              <w:numPr>
                <w:ilvl w:val="0"/>
                <w:numId w:val="0"/>
              </w:numPr>
              <w:spacing w:line="240" w:lineRule="auto"/>
              <w:ind w:firstLine="480" w:firstLineChars="200"/>
              <w:jc w:val="both"/>
              <w:rPr>
                <w:rFonts w:hint="eastAsia" w:eastAsiaTheme="minorEastAsia"/>
                <w:sz w:val="24"/>
                <w:szCs w:val="24"/>
                <w:lang w:val="en-US" w:eastAsia="zh-CN"/>
              </w:rPr>
            </w:pPr>
            <w:r>
              <w:rPr>
                <w:rFonts w:hint="eastAsia"/>
                <w:sz w:val="24"/>
                <w:szCs w:val="24"/>
                <w:lang w:val="en-US" w:eastAsia="zh-CN"/>
              </w:rPr>
              <w:t>学院督导分专业举办</w:t>
            </w:r>
            <w:r>
              <w:rPr>
                <w:rFonts w:hint="eastAsia" w:ascii="宋体" w:hAnsi="宋体" w:eastAsia="宋体" w:cs="宋体"/>
                <w:sz w:val="24"/>
                <w:szCs w:val="24"/>
                <w:lang w:val="en-US" w:eastAsia="zh-CN"/>
              </w:rPr>
              <w:t>毕业答辩申请专题讲座，如此时仍未开学或有学生因地域隔离无法到校，则以网络直播的形式同步进行。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4月</w:t>
            </w:r>
            <w:r>
              <w:rPr>
                <w:rFonts w:hint="eastAsia"/>
                <w:sz w:val="28"/>
                <w:szCs w:val="28"/>
                <w:lang w:val="en-US" w:eastAsia="zh-CN"/>
              </w:rPr>
              <w:t>2</w:t>
            </w:r>
            <w:r>
              <w:rPr>
                <w:rFonts w:hint="eastAsia"/>
                <w:sz w:val="28"/>
                <w:szCs w:val="28"/>
              </w:rPr>
              <w:t>5号前</w:t>
            </w:r>
          </w:p>
        </w:tc>
        <w:tc>
          <w:tcPr>
            <w:tcW w:w="6817" w:type="dxa"/>
            <w:noWrap w:val="0"/>
            <w:vAlign w:val="center"/>
          </w:tcPr>
          <w:p>
            <w:pPr>
              <w:spacing w:line="240" w:lineRule="auto"/>
              <w:ind w:firstLine="480" w:firstLineChars="200"/>
              <w:jc w:val="both"/>
              <w:rPr>
                <w:rFonts w:hint="eastAsia"/>
                <w:sz w:val="24"/>
                <w:szCs w:val="24"/>
              </w:rPr>
            </w:pPr>
            <w:r>
              <w:rPr>
                <w:rFonts w:hint="eastAsia"/>
                <w:sz w:val="24"/>
                <w:szCs w:val="24"/>
                <w:lang w:eastAsia="zh-CN"/>
              </w:rPr>
              <w:t>学生</w:t>
            </w:r>
            <w:r>
              <w:rPr>
                <w:rFonts w:hint="eastAsia"/>
                <w:sz w:val="24"/>
                <w:szCs w:val="24"/>
              </w:rPr>
              <w:t>完成</w:t>
            </w:r>
            <w:r>
              <w:rPr>
                <w:rFonts w:hint="eastAsia"/>
                <w:sz w:val="24"/>
                <w:szCs w:val="24"/>
                <w:lang w:eastAsia="zh-CN"/>
              </w:rPr>
              <w:t>毕业</w:t>
            </w:r>
            <w:r>
              <w:rPr>
                <w:rFonts w:hint="eastAsia" w:ascii="宋体" w:hAnsi="宋体" w:eastAsia="宋体" w:cs="宋体"/>
                <w:sz w:val="24"/>
                <w:szCs w:val="24"/>
                <w:lang w:val="en-US" w:eastAsia="zh-CN"/>
              </w:rPr>
              <w:t>论文（设计）</w:t>
            </w:r>
            <w:r>
              <w:rPr>
                <w:rFonts w:hint="eastAsia"/>
                <w:sz w:val="24"/>
                <w:szCs w:val="24"/>
              </w:rPr>
              <w:t>定稿（含前置部分表格）</w:t>
            </w:r>
            <w:r>
              <w:rPr>
                <w:rFonts w:hint="eastAsia"/>
                <w:sz w:val="24"/>
                <w:szCs w:val="24"/>
                <w:lang w:eastAsia="zh-CN"/>
              </w:rPr>
              <w:t>，</w:t>
            </w:r>
            <w:r>
              <w:rPr>
                <w:rFonts w:hint="eastAsia"/>
                <w:sz w:val="24"/>
                <w:szCs w:val="24"/>
                <w:lang w:val="en-US" w:eastAsia="zh-CN"/>
              </w:rPr>
              <w:t>并上交电子档到学院进行查重。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4月</w:t>
            </w:r>
            <w:r>
              <w:rPr>
                <w:rFonts w:hint="eastAsia"/>
                <w:sz w:val="28"/>
                <w:szCs w:val="28"/>
                <w:lang w:val="en-US" w:eastAsia="zh-CN"/>
              </w:rPr>
              <w:t>29</w:t>
            </w:r>
            <w:r>
              <w:rPr>
                <w:rFonts w:hint="eastAsia"/>
                <w:sz w:val="28"/>
                <w:szCs w:val="28"/>
              </w:rPr>
              <w:t>号前</w:t>
            </w:r>
          </w:p>
        </w:tc>
        <w:tc>
          <w:tcPr>
            <w:tcW w:w="6817" w:type="dxa"/>
            <w:noWrap w:val="0"/>
            <w:vAlign w:val="center"/>
          </w:tcPr>
          <w:p>
            <w:pPr>
              <w:spacing w:line="240" w:lineRule="auto"/>
              <w:ind w:firstLine="480" w:firstLineChars="200"/>
              <w:jc w:val="both"/>
              <w:rPr>
                <w:rFonts w:hint="eastAsia"/>
                <w:sz w:val="24"/>
                <w:szCs w:val="24"/>
              </w:rPr>
            </w:pPr>
            <w:r>
              <w:rPr>
                <w:rFonts w:hint="eastAsia"/>
                <w:sz w:val="24"/>
                <w:szCs w:val="24"/>
                <w:lang w:eastAsia="zh-CN"/>
              </w:rPr>
              <w:t>查重</w:t>
            </w:r>
            <w:r>
              <w:rPr>
                <w:rFonts w:hint="eastAsia"/>
                <w:sz w:val="24"/>
                <w:szCs w:val="24"/>
                <w:lang w:val="en-US" w:eastAsia="zh-CN"/>
              </w:rPr>
              <w:t>结束</w:t>
            </w:r>
            <w:r>
              <w:rPr>
                <w:rFonts w:hint="eastAsia"/>
                <w:sz w:val="24"/>
                <w:szCs w:val="24"/>
                <w:lang w:eastAsia="zh-CN"/>
              </w:rPr>
              <w:t>，</w:t>
            </w:r>
            <w:r>
              <w:rPr>
                <w:rFonts w:hint="eastAsia"/>
                <w:sz w:val="24"/>
                <w:szCs w:val="24"/>
                <w:lang w:val="en-US" w:eastAsia="zh-CN"/>
              </w:rPr>
              <w:t>未按时提交电子稿没有查重的，或者连续两次查重重复率大于等于30%的同学，不予安排答辩。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4月</w:t>
            </w:r>
            <w:r>
              <w:rPr>
                <w:rFonts w:hint="eastAsia"/>
                <w:sz w:val="28"/>
                <w:szCs w:val="28"/>
                <w:lang w:val="en-US" w:eastAsia="zh-CN"/>
              </w:rPr>
              <w:t>30号</w:t>
            </w:r>
          </w:p>
        </w:tc>
        <w:tc>
          <w:tcPr>
            <w:tcW w:w="6817" w:type="dxa"/>
            <w:noWrap w:val="0"/>
            <w:vAlign w:val="center"/>
          </w:tcPr>
          <w:p>
            <w:pPr>
              <w:spacing w:line="240" w:lineRule="auto"/>
              <w:jc w:val="both"/>
              <w:rPr>
                <w:rFonts w:hint="eastAsia"/>
                <w:sz w:val="24"/>
                <w:szCs w:val="24"/>
                <w:lang w:val="en-US" w:eastAsia="zh-CN"/>
              </w:rPr>
            </w:pPr>
            <w:r>
              <w:rPr>
                <w:rFonts w:hint="eastAsia"/>
                <w:sz w:val="24"/>
                <w:szCs w:val="24"/>
                <w:lang w:val="en-US" w:eastAsia="zh-CN"/>
              </w:rPr>
              <w:t xml:space="preserve">    上交答辩申请表</w:t>
            </w:r>
            <w:bookmarkStart w:id="0" w:name="_GoBack"/>
            <w:bookmarkEnd w:id="0"/>
            <w:r>
              <w:rPr>
                <w:rFonts w:hint="eastAsia" w:ascii="宋体" w:hAnsi="宋体" w:eastAsia="宋体" w:cs="宋体"/>
                <w:sz w:val="24"/>
                <w:szCs w:val="24"/>
                <w:lang w:val="en-US" w:eastAsia="zh-CN"/>
              </w:rPr>
              <w:t>，学院督导组复查。如仍未开学或因地域隔离无法到校，则上交电子版。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5月</w:t>
            </w:r>
            <w:r>
              <w:rPr>
                <w:rFonts w:hint="eastAsia"/>
                <w:sz w:val="28"/>
                <w:szCs w:val="28"/>
                <w:lang w:val="en-US" w:eastAsia="zh-CN"/>
              </w:rPr>
              <w:t>4</w:t>
            </w:r>
            <w:r>
              <w:rPr>
                <w:rFonts w:hint="eastAsia"/>
                <w:sz w:val="28"/>
                <w:szCs w:val="28"/>
              </w:rPr>
              <w:t>号前</w:t>
            </w:r>
          </w:p>
        </w:tc>
        <w:tc>
          <w:tcPr>
            <w:tcW w:w="6817" w:type="dxa"/>
            <w:noWrap w:val="0"/>
            <w:vAlign w:val="center"/>
          </w:tcPr>
          <w:p>
            <w:pPr>
              <w:spacing w:line="240" w:lineRule="auto"/>
              <w:ind w:firstLine="480" w:firstLineChars="200"/>
              <w:jc w:val="both"/>
              <w:rPr>
                <w:rFonts w:hint="eastAsia"/>
                <w:sz w:val="24"/>
                <w:szCs w:val="24"/>
              </w:rPr>
            </w:pPr>
            <w:r>
              <w:rPr>
                <w:rFonts w:hint="eastAsia"/>
                <w:sz w:val="24"/>
                <w:szCs w:val="24"/>
              </w:rPr>
              <w:t>确定答辩学生名单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5月</w:t>
            </w:r>
            <w:r>
              <w:rPr>
                <w:rFonts w:hint="eastAsia"/>
                <w:sz w:val="28"/>
                <w:szCs w:val="28"/>
                <w:lang w:val="en-US" w:eastAsia="zh-CN"/>
              </w:rPr>
              <w:t>9-10</w:t>
            </w:r>
            <w:r>
              <w:rPr>
                <w:rFonts w:hint="eastAsia"/>
                <w:sz w:val="28"/>
                <w:szCs w:val="28"/>
              </w:rPr>
              <w:t>号</w:t>
            </w:r>
          </w:p>
        </w:tc>
        <w:tc>
          <w:tcPr>
            <w:tcW w:w="6817" w:type="dxa"/>
            <w:noWrap w:val="0"/>
            <w:vAlign w:val="center"/>
          </w:tcPr>
          <w:p>
            <w:pPr>
              <w:spacing w:line="240" w:lineRule="auto"/>
              <w:ind w:firstLine="480" w:firstLineChars="200"/>
              <w:jc w:val="both"/>
              <w:rPr>
                <w:rFonts w:hint="eastAsia" w:eastAsia="宋体"/>
                <w:sz w:val="24"/>
                <w:szCs w:val="24"/>
                <w:lang w:val="en-US" w:eastAsia="zh-CN"/>
              </w:rPr>
            </w:pPr>
            <w:r>
              <w:rPr>
                <w:rFonts w:hint="eastAsia"/>
                <w:sz w:val="24"/>
                <w:szCs w:val="24"/>
                <w:lang w:val="en-US" w:eastAsia="zh-CN"/>
              </w:rPr>
              <w:t>毕业</w:t>
            </w:r>
            <w:r>
              <w:rPr>
                <w:rFonts w:hint="eastAsia"/>
                <w:sz w:val="24"/>
                <w:szCs w:val="24"/>
              </w:rPr>
              <w:t>答辩，</w:t>
            </w:r>
            <w:r>
              <w:rPr>
                <w:rFonts w:hint="eastAsia" w:ascii="宋体" w:hAnsi="宋体" w:eastAsia="宋体" w:cs="宋体"/>
                <w:sz w:val="24"/>
                <w:szCs w:val="24"/>
                <w:lang w:val="en-US" w:eastAsia="zh-CN"/>
              </w:rPr>
              <w:t>如仍未开学或因地域隔离无法到校，则以视频会议的形式进行答辩。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rPr>
            </w:pPr>
            <w:r>
              <w:rPr>
                <w:rFonts w:hint="eastAsia"/>
                <w:sz w:val="28"/>
                <w:szCs w:val="28"/>
              </w:rPr>
              <w:t>5月</w:t>
            </w:r>
            <w:r>
              <w:rPr>
                <w:rFonts w:hint="eastAsia"/>
                <w:sz w:val="28"/>
                <w:szCs w:val="28"/>
                <w:lang w:val="en-US" w:eastAsia="zh-CN"/>
              </w:rPr>
              <w:t>18</w:t>
            </w:r>
            <w:r>
              <w:rPr>
                <w:rFonts w:hint="eastAsia"/>
                <w:sz w:val="28"/>
                <w:szCs w:val="28"/>
              </w:rPr>
              <w:t>号之前</w:t>
            </w:r>
          </w:p>
        </w:tc>
        <w:tc>
          <w:tcPr>
            <w:tcW w:w="6817" w:type="dxa"/>
            <w:noWrap w:val="0"/>
            <w:vAlign w:val="center"/>
          </w:tcPr>
          <w:p>
            <w:pPr>
              <w:spacing w:line="240" w:lineRule="auto"/>
              <w:ind w:firstLine="480" w:firstLineChars="200"/>
              <w:jc w:val="both"/>
              <w:rPr>
                <w:rFonts w:hint="eastAsia"/>
                <w:b/>
                <w:color w:val="FF0000"/>
                <w:sz w:val="24"/>
                <w:szCs w:val="24"/>
                <w:lang w:val="en-US"/>
              </w:rPr>
            </w:pPr>
            <w:r>
              <w:rPr>
                <w:rFonts w:hint="eastAsia"/>
                <w:sz w:val="24"/>
                <w:szCs w:val="24"/>
              </w:rPr>
              <w:t>学生上交</w:t>
            </w:r>
            <w:r>
              <w:rPr>
                <w:rFonts w:hint="eastAsia"/>
                <w:sz w:val="24"/>
                <w:szCs w:val="24"/>
                <w:lang w:val="en-US" w:eastAsia="zh-CN"/>
              </w:rPr>
              <w:t>根据答辩意见修改后</w:t>
            </w:r>
            <w:r>
              <w:rPr>
                <w:rFonts w:hint="eastAsia"/>
                <w:sz w:val="24"/>
                <w:szCs w:val="24"/>
              </w:rPr>
              <w:t>的</w:t>
            </w:r>
            <w:r>
              <w:rPr>
                <w:rFonts w:hint="eastAsia"/>
                <w:sz w:val="24"/>
                <w:szCs w:val="24"/>
                <w:lang w:eastAsia="zh-CN"/>
              </w:rPr>
              <w:t>毕业</w:t>
            </w:r>
            <w:r>
              <w:rPr>
                <w:rFonts w:hint="eastAsia" w:ascii="宋体" w:hAnsi="宋体" w:eastAsia="宋体" w:cs="宋体"/>
                <w:sz w:val="24"/>
                <w:szCs w:val="24"/>
                <w:lang w:val="en-US" w:eastAsia="zh-CN"/>
              </w:rPr>
              <w:t>论文（设计）</w:t>
            </w:r>
            <w:r>
              <w:rPr>
                <w:rFonts w:hint="eastAsia"/>
                <w:sz w:val="24"/>
                <w:szCs w:val="24"/>
              </w:rPr>
              <w:t>的评审表与答辩记录表（原件，放档案）</w:t>
            </w:r>
            <w:r>
              <w:rPr>
                <w:rFonts w:hint="eastAsia"/>
                <w:sz w:val="24"/>
                <w:szCs w:val="24"/>
                <w:lang w:eastAsia="zh-CN"/>
              </w:rPr>
              <w:t>，毕业</w:t>
            </w:r>
            <w:r>
              <w:rPr>
                <w:rFonts w:hint="eastAsia" w:ascii="宋体" w:hAnsi="宋体" w:eastAsia="宋体" w:cs="宋体"/>
                <w:sz w:val="24"/>
                <w:szCs w:val="24"/>
                <w:lang w:val="en-US" w:eastAsia="zh-CN"/>
              </w:rPr>
              <w:t>论文（设计）</w:t>
            </w:r>
            <w:r>
              <w:rPr>
                <w:rFonts w:hint="eastAsia"/>
                <w:sz w:val="24"/>
                <w:szCs w:val="24"/>
              </w:rPr>
              <w:t>装订一本</w:t>
            </w:r>
            <w:r>
              <w:rPr>
                <w:rFonts w:hint="eastAsia"/>
                <w:sz w:val="24"/>
                <w:szCs w:val="24"/>
                <w:lang w:eastAsia="zh-CN"/>
              </w:rPr>
              <w:t>（含主体部分及前置表格），毕业</w:t>
            </w:r>
            <w:r>
              <w:rPr>
                <w:rFonts w:hint="eastAsia" w:ascii="宋体" w:hAnsi="宋体" w:eastAsia="宋体" w:cs="宋体"/>
                <w:sz w:val="24"/>
                <w:szCs w:val="24"/>
                <w:lang w:val="en-US" w:eastAsia="zh-CN"/>
              </w:rPr>
              <w:t>论文（设计）</w:t>
            </w:r>
            <w:r>
              <w:rPr>
                <w:rFonts w:hint="eastAsia"/>
                <w:sz w:val="24"/>
                <w:szCs w:val="24"/>
              </w:rPr>
              <w:t>电子稿（学号+姓名命名）。</w:t>
            </w:r>
            <w:r>
              <w:rPr>
                <w:rFonts w:hint="eastAsia"/>
                <w:sz w:val="24"/>
                <w:szCs w:val="24"/>
                <w:lang w:val="en-US" w:eastAsia="zh-CN"/>
              </w:rPr>
              <w:t>如仍未开学，上交材料根据学校安排确定。</w:t>
            </w:r>
            <w:r>
              <w:rPr>
                <w:rFonts w:hint="eastAsia" w:ascii="宋体" w:hAnsi="宋体" w:eastAsia="宋体" w:cs="宋体"/>
                <w:sz w:val="24"/>
                <w:szCs w:val="24"/>
                <w:lang w:val="en-US" w:eastAsia="zh-CN"/>
              </w:rPr>
              <w:t>如因地域隔离无法到校，由学院统一安排所在班级学习委员代为打印上交。指导老师负责检查。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eastAsiaTheme="minorEastAsia"/>
                <w:sz w:val="28"/>
                <w:szCs w:val="28"/>
                <w:lang w:val="en-US" w:eastAsia="zh-CN"/>
              </w:rPr>
            </w:pPr>
            <w:r>
              <w:rPr>
                <w:rFonts w:hint="eastAsia"/>
                <w:sz w:val="28"/>
                <w:szCs w:val="28"/>
                <w:lang w:val="en-US" w:eastAsia="zh-CN"/>
              </w:rPr>
              <w:t>5月25日之前</w:t>
            </w:r>
          </w:p>
        </w:tc>
        <w:tc>
          <w:tcPr>
            <w:tcW w:w="6817" w:type="dxa"/>
            <w:noWrap w:val="0"/>
            <w:vAlign w:val="center"/>
          </w:tcPr>
          <w:p>
            <w:pPr>
              <w:spacing w:line="240" w:lineRule="auto"/>
              <w:ind w:firstLine="480" w:firstLineChars="200"/>
              <w:jc w:val="both"/>
              <w:rPr>
                <w:rFonts w:hint="eastAsia" w:eastAsiaTheme="minorEastAsia"/>
                <w:sz w:val="24"/>
                <w:szCs w:val="24"/>
                <w:lang w:val="en-US" w:eastAsia="zh-CN"/>
              </w:rPr>
            </w:pPr>
            <w:r>
              <w:rPr>
                <w:rFonts w:hint="eastAsia"/>
                <w:sz w:val="24"/>
                <w:szCs w:val="24"/>
                <w:lang w:val="en-US" w:eastAsia="zh-CN"/>
              </w:rPr>
              <w:t>学院督导组对上交的</w:t>
            </w:r>
            <w:r>
              <w:rPr>
                <w:rFonts w:hint="eastAsia"/>
                <w:sz w:val="24"/>
                <w:szCs w:val="24"/>
                <w:lang w:eastAsia="zh-CN"/>
              </w:rPr>
              <w:t>毕业</w:t>
            </w:r>
            <w:r>
              <w:rPr>
                <w:rFonts w:hint="eastAsia" w:ascii="宋体" w:hAnsi="宋体" w:eastAsia="宋体" w:cs="宋体"/>
                <w:sz w:val="24"/>
                <w:szCs w:val="24"/>
                <w:lang w:val="en-US" w:eastAsia="zh-CN"/>
              </w:rPr>
              <w:t>论文（设计）进行复查，对上交材料不符合学校要求的，退回给学生，并视情况对指导老师进行处罚。学生整改不到位则答辩不通过。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noWrap w:val="0"/>
            <w:vAlign w:val="center"/>
          </w:tcPr>
          <w:p>
            <w:pPr>
              <w:jc w:val="center"/>
              <w:rPr>
                <w:rFonts w:hint="eastAsia"/>
                <w:sz w:val="28"/>
                <w:szCs w:val="28"/>
                <w:lang w:val="en-US" w:eastAsia="zh-CN"/>
              </w:rPr>
            </w:pPr>
            <w:r>
              <w:rPr>
                <w:rFonts w:hint="eastAsia"/>
                <w:sz w:val="28"/>
                <w:szCs w:val="28"/>
                <w:lang w:val="en-US" w:eastAsia="zh-CN"/>
              </w:rPr>
              <w:t>5月30日之前</w:t>
            </w:r>
          </w:p>
        </w:tc>
        <w:tc>
          <w:tcPr>
            <w:tcW w:w="6817" w:type="dxa"/>
            <w:noWrap w:val="0"/>
            <w:vAlign w:val="center"/>
          </w:tcPr>
          <w:p>
            <w:pPr>
              <w:spacing w:line="240" w:lineRule="auto"/>
              <w:ind w:firstLine="480" w:firstLineChars="200"/>
              <w:jc w:val="both"/>
              <w:rPr>
                <w:rFonts w:hint="eastAsia"/>
                <w:sz w:val="24"/>
                <w:szCs w:val="24"/>
                <w:lang w:val="en-US" w:eastAsia="zh-CN"/>
              </w:rPr>
            </w:pPr>
            <w:r>
              <w:rPr>
                <w:rFonts w:hint="eastAsia"/>
                <w:sz w:val="24"/>
                <w:szCs w:val="24"/>
                <w:lang w:val="en-US" w:eastAsia="zh-CN"/>
              </w:rPr>
              <w:t>以系为单位上交工作总结和</w:t>
            </w:r>
            <w:r>
              <w:rPr>
                <w:rFonts w:hint="eastAsia"/>
                <w:sz w:val="24"/>
                <w:szCs w:val="24"/>
                <w:lang w:eastAsia="zh-CN"/>
              </w:rPr>
              <w:t>毕业</w:t>
            </w:r>
            <w:r>
              <w:rPr>
                <w:rFonts w:hint="eastAsia" w:ascii="宋体" w:hAnsi="宋体" w:eastAsia="宋体" w:cs="宋体"/>
                <w:sz w:val="24"/>
                <w:szCs w:val="24"/>
                <w:lang w:val="en-US" w:eastAsia="zh-CN"/>
              </w:rPr>
              <w:t>论文（设计）</w:t>
            </w:r>
            <w:r>
              <w:rPr>
                <w:rFonts w:hint="eastAsia"/>
                <w:sz w:val="24"/>
                <w:szCs w:val="24"/>
                <w:lang w:val="en-US" w:eastAsia="zh-CN"/>
              </w:rPr>
              <w:t>所有材料电子版到学院教务办。</w:t>
            </w:r>
          </w:p>
        </w:tc>
      </w:tr>
    </w:tbl>
    <w:p>
      <w:pPr>
        <w:jc w:val="left"/>
        <w:rPr>
          <w:rFonts w:hint="eastAsia" w:ascii="仿宋" w:hAnsi="仿宋" w:eastAsia="仿宋"/>
          <w:color w:val="auto"/>
          <w:sz w:val="32"/>
          <w:szCs w:val="28"/>
        </w:rPr>
      </w:pPr>
    </w:p>
    <w:p>
      <w:pPr>
        <w:ind w:firstLine="640" w:firstLineChars="200"/>
        <w:jc w:val="left"/>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指导老师的</w:t>
      </w:r>
      <w:r>
        <w:rPr>
          <w:rFonts w:hint="eastAsia" w:ascii="仿宋" w:hAnsi="仿宋" w:eastAsia="仿宋"/>
          <w:color w:val="auto"/>
          <w:sz w:val="32"/>
          <w:szCs w:val="28"/>
        </w:rPr>
        <w:t>毕业论文（设计）</w:t>
      </w:r>
      <w:r>
        <w:rPr>
          <w:rFonts w:hint="eastAsia" w:ascii="仿宋" w:hAnsi="仿宋" w:eastAsia="仿宋"/>
          <w:color w:val="auto"/>
          <w:sz w:val="32"/>
          <w:szCs w:val="28"/>
          <w:lang w:val="en-US" w:eastAsia="zh-CN"/>
        </w:rPr>
        <w:t>指导</w:t>
      </w:r>
      <w:r>
        <w:rPr>
          <w:rFonts w:hint="eastAsia" w:ascii="仿宋" w:hAnsi="仿宋" w:eastAsia="仿宋"/>
          <w:color w:val="auto"/>
          <w:sz w:val="32"/>
          <w:szCs w:val="28"/>
        </w:rPr>
        <w:t>工作</w:t>
      </w:r>
      <w:r>
        <w:rPr>
          <w:rFonts w:hint="eastAsia" w:ascii="仿宋" w:hAnsi="仿宋" w:eastAsia="仿宋"/>
          <w:color w:val="auto"/>
          <w:sz w:val="32"/>
          <w:szCs w:val="28"/>
          <w:lang w:val="en-US" w:eastAsia="zh-CN"/>
        </w:rPr>
        <w:t>应严格</w:t>
      </w:r>
      <w:r>
        <w:rPr>
          <w:rFonts w:hint="eastAsia" w:ascii="仿宋" w:hAnsi="仿宋" w:eastAsia="仿宋"/>
          <w:color w:val="auto"/>
          <w:sz w:val="32"/>
          <w:szCs w:val="28"/>
        </w:rPr>
        <w:t>依据《湖南科技学院本科毕业论文（设计）工作管理条例》（湘科院教发[2018]60号）开展</w:t>
      </w:r>
      <w:r>
        <w:rPr>
          <w:rFonts w:hint="eastAsia" w:ascii="仿宋" w:hAnsi="仿宋" w:eastAsia="仿宋"/>
          <w:color w:val="auto"/>
          <w:sz w:val="32"/>
          <w:szCs w:val="28"/>
          <w:lang w:val="en-US" w:eastAsia="zh-CN"/>
        </w:rPr>
        <w:t>(详见附件）</w:t>
      </w:r>
      <w:r>
        <w:rPr>
          <w:rFonts w:hint="eastAsia" w:ascii="仿宋" w:hAnsi="仿宋" w:eastAsia="仿宋"/>
          <w:color w:val="auto"/>
          <w:sz w:val="32"/>
          <w:szCs w:val="28"/>
          <w:lang w:eastAsia="zh-CN"/>
        </w:rPr>
        <w:t>，</w:t>
      </w:r>
      <w:r>
        <w:rPr>
          <w:rFonts w:hint="eastAsia" w:ascii="仿宋" w:hAnsi="仿宋" w:eastAsia="仿宋"/>
          <w:color w:val="auto"/>
          <w:sz w:val="32"/>
          <w:szCs w:val="28"/>
          <w:lang w:val="en-US" w:eastAsia="zh-CN"/>
        </w:rPr>
        <w:t>并在2月24日前将毕业论文（设计）指导时间安排及要求通知、附件的湖南科技学院本科生毕业论文（设计）撰写规范发给所指导的每个学生。</w:t>
      </w:r>
    </w:p>
    <w:p>
      <w:pPr>
        <w:ind w:firstLine="646" w:firstLineChars="202"/>
        <w:rPr>
          <w:rFonts w:hint="eastAsia" w:ascii="仿宋" w:hAnsi="仿宋" w:eastAsia="仿宋"/>
          <w:b w:val="0"/>
          <w:bCs w:val="0"/>
          <w:color w:val="C00000"/>
          <w:sz w:val="32"/>
          <w:szCs w:val="28"/>
        </w:rPr>
      </w:pPr>
    </w:p>
    <w:p>
      <w:pPr>
        <w:ind w:firstLine="642"/>
        <w:rPr>
          <w:rFonts w:hint="eastAsia" w:ascii="仿宋" w:hAnsi="仿宋" w:eastAsia="仿宋"/>
          <w:color w:val="auto"/>
          <w:sz w:val="32"/>
          <w:szCs w:val="28"/>
        </w:rPr>
      </w:pPr>
    </w:p>
    <w:p>
      <w:pPr>
        <w:ind w:firstLine="642"/>
        <w:rPr>
          <w:rFonts w:hint="eastAsia" w:ascii="仿宋" w:hAnsi="仿宋" w:eastAsia="仿宋"/>
          <w:color w:val="auto"/>
          <w:sz w:val="32"/>
          <w:szCs w:val="28"/>
        </w:rPr>
      </w:pPr>
    </w:p>
    <w:p>
      <w:pPr>
        <w:ind w:firstLine="642"/>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 xml:space="preserve">                         土木与环境工程学院</w:t>
      </w:r>
    </w:p>
    <w:p>
      <w:pPr>
        <w:ind w:firstLine="642"/>
        <w:rPr>
          <w:rFonts w:hint="default" w:ascii="仿宋" w:hAnsi="仿宋" w:eastAsia="仿宋"/>
          <w:color w:val="auto"/>
          <w:sz w:val="32"/>
          <w:szCs w:val="28"/>
          <w:lang w:val="en-US" w:eastAsia="zh-CN"/>
        </w:rPr>
      </w:pPr>
      <w:r>
        <w:rPr>
          <w:rFonts w:hint="eastAsia" w:ascii="仿宋" w:hAnsi="仿宋" w:eastAsia="仿宋"/>
          <w:color w:val="auto"/>
          <w:sz w:val="32"/>
          <w:szCs w:val="28"/>
          <w:lang w:val="en-US" w:eastAsia="zh-CN"/>
        </w:rPr>
        <w:t xml:space="preserve">                            2020年2月</w:t>
      </w:r>
    </w:p>
    <w:p>
      <w:pPr>
        <w:ind w:firstLine="640" w:firstLineChars="200"/>
        <w:rPr>
          <w:rFonts w:hint="eastAsia" w:ascii="仿宋" w:hAnsi="仿宋" w:eastAsia="仿宋"/>
          <w:color w:val="auto"/>
          <w:sz w:val="32"/>
          <w:szCs w:val="28"/>
        </w:rPr>
      </w:pPr>
    </w:p>
    <w:p>
      <w:pPr>
        <w:ind w:firstLine="640" w:firstLineChars="200"/>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spacing w:line="360" w:lineRule="auto"/>
        <w:jc w:val="center"/>
        <w:rPr>
          <w:b/>
          <w:color w:val="FF0000"/>
          <w:spacing w:val="-20"/>
          <w:sz w:val="90"/>
          <w:szCs w:val="80"/>
        </w:rPr>
      </w:pPr>
      <w:r>
        <w:rPr>
          <w:rFonts w:hint="eastAsia"/>
          <w:b/>
          <w:color w:val="FF0000"/>
          <w:spacing w:val="-20"/>
          <w:sz w:val="90"/>
          <w:szCs w:val="80"/>
        </w:rPr>
        <w:t>湖南科技学院教务处</w:t>
      </w:r>
    </w:p>
    <w:p>
      <w:pPr>
        <w:spacing w:line="360" w:lineRule="auto"/>
        <w:rPr>
          <w:rFonts w:hint="eastAsia" w:ascii="仿宋_GB2312" w:eastAsia="仿宋_GB2312"/>
          <w:sz w:val="32"/>
          <w:szCs w:val="32"/>
        </w:rPr>
      </w:pPr>
    </w:p>
    <w:p>
      <w:pPr>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湘科院教发[2018]60号</w:t>
      </w:r>
    </w:p>
    <w:p>
      <w:pPr>
        <w:pStyle w:val="5"/>
        <w:spacing w:before="0" w:beforeAutospacing="0" w:after="0" w:afterAutospacing="0" w:line="400" w:lineRule="exact"/>
        <w:jc w:val="center"/>
        <w:rPr>
          <w:rFonts w:hint="eastAsia" w:ascii="宋体" w:hAnsi="宋体"/>
          <w:b/>
          <w:color w:val="000000"/>
          <w:sz w:val="44"/>
          <w:szCs w:val="44"/>
        </w:rPr>
      </w:pPr>
      <w:r>
        <w:rPr>
          <w:color w:val="FF0000"/>
        </w:rPr>
        <mc:AlternateContent>
          <mc:Choice Requires="wpg">
            <w:drawing>
              <wp:inline distT="0" distB="0" distL="114300" distR="114300">
                <wp:extent cx="7465060" cy="297180"/>
                <wp:effectExtent l="0" t="0" r="0" b="0"/>
                <wp:docPr id="5" name="组合 5"/>
                <wp:cNvGraphicFramePr/>
                <a:graphic xmlns:a="http://schemas.openxmlformats.org/drawingml/2006/main">
                  <a:graphicData uri="http://schemas.microsoft.com/office/word/2010/wordprocessingGroup">
                    <wpg:wgp>
                      <wpg:cNvGrpSpPr>
                        <a:grpSpLocks noRot="1"/>
                      </wpg:cNvGrpSpPr>
                      <wpg:grpSpPr>
                        <a:xfrm>
                          <a:off x="0" y="0"/>
                          <a:ext cx="7465060" cy="297180"/>
                          <a:chOff x="0" y="0"/>
                          <a:chExt cx="11756" cy="468"/>
                        </a:xfrm>
                      </wpg:grpSpPr>
                      <wps:wsp>
                        <wps:cNvPr id="3" name="矩形 3"/>
                        <wps:cNvSpPr>
                          <a:spLocks noChangeAspect="1"/>
                        </wps:cNvSpPr>
                        <wps:spPr>
                          <a:xfrm>
                            <a:off x="0" y="0"/>
                            <a:ext cx="11756" cy="468"/>
                          </a:xfrm>
                          <a:prstGeom prst="rect">
                            <a:avLst/>
                          </a:prstGeom>
                          <a:noFill/>
                          <a:ln w="9525">
                            <a:noFill/>
                          </a:ln>
                        </wps:spPr>
                        <wps:bodyPr upright="1"/>
                      </wps:wsp>
                      <wps:wsp>
                        <wps:cNvPr id="4" name="直接连接符 4"/>
                        <wps:cNvCnPr/>
                        <wps:spPr>
                          <a:xfrm flipV="1">
                            <a:off x="0" y="155"/>
                            <a:ext cx="8460" cy="1"/>
                          </a:xfrm>
                          <a:prstGeom prst="line">
                            <a:avLst/>
                          </a:prstGeom>
                          <a:ln w="57150" cap="flat" cmpd="thickThin">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23.4pt;width:587.8pt;" coordsize="11756,468" o:gfxdata="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HMoKXHWAAAABQEAAA8AAAAAAAAAAQAgAAAAIgAA&#10;AGRycy9kb3ducmV2LnhtbFBLAQIUABQAAAAIAIdO4kATa3WFtQIAAIEGAAAOAAAAAAAAAAEAIAAA&#10;ACUBAABkcnMvZTJvRG9jLnhtbFBLBQYAAAAABgAGAFkBAABMBgAAAAA=&#10;">
                <o:lock v:ext="edit" rotation="t" aspectratio="f"/>
                <v:rect id="_x0000_s1026" o:spid="_x0000_s1026" o:spt="1" style="position:absolute;left:0;top:0;height:468;width:11756;"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0;top:155;flip:y;height:1;width:8460;" filled="f" stroked="t" coordsize="21600,21600" o:gfxdata="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mBvQAA&#10;ANoAAAAPAAAAAAAAAAEAIAAAACIAAABkcnMvZG93bnJldi54bWxQSwECFAAUAAAACACHTuJAMy8F&#10;njsAAAA5AAAAEAAAAAAAAAABACAAAAAMAQAAZHJzL3NoYXBleG1sLnhtbFBLBQYAAAAABgAGAFsB&#10;AAC2AwAAAAA=&#10;">
                  <v:fill on="f" focussize="0,0"/>
                  <v:stroke weight="4.5pt" color="#FF0000" linestyle="thickThin" joinstyle="round"/>
                  <v:imagedata o:title=""/>
                  <o:lock v:ext="edit" aspectratio="f"/>
                </v:line>
                <w10:wrap type="none"/>
                <w10:anchorlock/>
              </v:group>
            </w:pict>
          </mc:Fallback>
        </mc:AlternateContent>
      </w:r>
    </w:p>
    <w:p>
      <w:pPr>
        <w:spacing w:line="360" w:lineRule="auto"/>
        <w:jc w:val="center"/>
        <w:rPr>
          <w:rFonts w:hint="eastAsia"/>
          <w:b/>
          <w:color w:val="000000"/>
          <w:sz w:val="44"/>
          <w:szCs w:val="44"/>
        </w:rPr>
      </w:pPr>
      <w:r>
        <w:rPr>
          <w:rFonts w:hint="eastAsia"/>
          <w:b/>
          <w:color w:val="000000"/>
          <w:sz w:val="44"/>
          <w:szCs w:val="44"/>
        </w:rPr>
        <w:t>湖南科技学院本科毕业论文（设计）</w:t>
      </w:r>
    </w:p>
    <w:p>
      <w:pPr>
        <w:spacing w:line="360" w:lineRule="auto"/>
        <w:jc w:val="center"/>
        <w:rPr>
          <w:rFonts w:hint="eastAsia"/>
          <w:b/>
          <w:color w:val="000000"/>
          <w:sz w:val="44"/>
          <w:szCs w:val="44"/>
        </w:rPr>
      </w:pPr>
      <w:r>
        <w:rPr>
          <w:rFonts w:hint="eastAsia"/>
          <w:b/>
          <w:color w:val="000000"/>
          <w:sz w:val="44"/>
          <w:szCs w:val="44"/>
        </w:rPr>
        <w:t>工作管理条例</w:t>
      </w:r>
    </w:p>
    <w:p>
      <w:pPr>
        <w:spacing w:before="468" w:beforeLines="150" w:after="156" w:afterLines="50" w:line="560" w:lineRule="exact"/>
        <w:jc w:val="center"/>
        <w:rPr>
          <w:rFonts w:hint="eastAsia" w:ascii="楷体_GB2312" w:hAnsi="楷体" w:eastAsia="楷体_GB2312"/>
          <w:b/>
          <w:bCs/>
          <w:sz w:val="32"/>
          <w:szCs w:val="32"/>
        </w:rPr>
      </w:pPr>
      <w:r>
        <w:rPr>
          <w:rFonts w:hint="eastAsia" w:ascii="楷体_GB2312" w:eastAsia="楷体_GB2312"/>
          <w:b/>
          <w:sz w:val="32"/>
          <w:szCs w:val="32"/>
        </w:rPr>
        <w:t xml:space="preserve">第一章  </w:t>
      </w:r>
      <w:r>
        <w:rPr>
          <w:rFonts w:hint="eastAsia" w:ascii="楷体_GB2312" w:hAnsi="楷体" w:eastAsia="楷体_GB2312"/>
          <w:b/>
          <w:bCs/>
          <w:sz w:val="32"/>
          <w:szCs w:val="32"/>
        </w:rPr>
        <w:t>总  则</w:t>
      </w:r>
    </w:p>
    <w:p>
      <w:pPr>
        <w:snapToGrid w:val="0"/>
        <w:spacing w:before="5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第一条</w:t>
      </w:r>
      <w:r>
        <w:rPr>
          <w:rFonts w:hint="eastAsia" w:ascii="楷体_GB2312" w:hAnsi="楷体" w:eastAsia="楷体_GB2312"/>
          <w:sz w:val="32"/>
          <w:szCs w:val="32"/>
        </w:rPr>
        <w:t xml:space="preserve">  本科毕业论文（设计）是本科教学计划中的重要实践教学环节，是培养学生综合运用所学基础知识和基本</w:t>
      </w:r>
      <w:r>
        <w:rPr>
          <w:rFonts w:hint="eastAsia" w:ascii="楷体_GB2312" w:hAnsi="楷体" w:eastAsia="楷体_GB2312"/>
          <w:spacing w:val="2"/>
          <w:sz w:val="32"/>
          <w:szCs w:val="32"/>
        </w:rPr>
        <w:t>技能进行科学研究工作的初步训练，是培养和提高学生分析问题、解决问题能力，实现教学、科学研究和生产实践相结合的重要途径，是本科学生毕业和授予学士学位的必要条</w:t>
      </w:r>
      <w:r>
        <w:rPr>
          <w:rFonts w:hint="eastAsia" w:ascii="楷体_GB2312" w:hAnsi="楷体" w:eastAsia="楷体_GB2312"/>
          <w:spacing w:val="-4"/>
          <w:sz w:val="32"/>
          <w:szCs w:val="32"/>
        </w:rPr>
        <w:t>件。加强本科毕业论文（设计）工作，对于深化教学改革，全</w:t>
      </w:r>
      <w:r>
        <w:rPr>
          <w:rFonts w:hint="eastAsia" w:ascii="楷体_GB2312" w:hAnsi="楷体" w:eastAsia="楷体_GB2312"/>
          <w:sz w:val="32"/>
          <w:szCs w:val="32"/>
        </w:rPr>
        <w:t>面推进素质教育，提高人才质量具有十分重要的意义和作用。</w:t>
      </w:r>
    </w:p>
    <w:p>
      <w:pPr>
        <w:snapToGrid w:val="0"/>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为进一步提高我校本科生毕业论文（设计）水平，规范本科生毕业论文（设计）工作各环节，保证本科生毕业论文（设计）工作顺利进行，结合我校本科毕业论文（设计）工作的实际，特制定本条例。</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第二条 </w:t>
      </w:r>
      <w:r>
        <w:rPr>
          <w:rFonts w:hint="eastAsia" w:ascii="楷体_GB2312" w:hAnsi="楷体" w:eastAsia="楷体_GB2312"/>
          <w:sz w:val="32"/>
          <w:szCs w:val="32"/>
        </w:rPr>
        <w:t xml:space="preserve"> 凡湖南科技学院本科毕业学生，一律撰写毕业</w:t>
      </w:r>
      <w:r>
        <w:rPr>
          <w:rFonts w:hint="eastAsia" w:ascii="楷体_GB2312" w:hAnsi="楷体" w:eastAsia="楷体_GB2312"/>
          <w:spacing w:val="-6"/>
          <w:sz w:val="32"/>
          <w:szCs w:val="32"/>
        </w:rPr>
        <w:t>论文（设计）。凡无毕业论文（设计）或毕业论文（设计）不</w:t>
      </w:r>
      <w:r>
        <w:rPr>
          <w:rFonts w:hint="eastAsia" w:ascii="楷体_GB2312" w:hAnsi="楷体" w:eastAsia="楷体_GB2312"/>
          <w:sz w:val="32"/>
          <w:szCs w:val="32"/>
        </w:rPr>
        <w:t>合格的学生，不发给本科毕业文凭，不授予学士学位。</w:t>
      </w:r>
    </w:p>
    <w:p>
      <w:pPr>
        <w:spacing w:before="468" w:beforeLines="150" w:after="156" w:afterLines="50" w:line="560" w:lineRule="exact"/>
        <w:ind w:firstLine="643" w:firstLineChars="200"/>
        <w:jc w:val="center"/>
        <w:rPr>
          <w:rFonts w:hint="eastAsia" w:ascii="楷体_GB2312" w:hAnsi="楷体" w:eastAsia="楷体_GB2312"/>
          <w:b/>
          <w:bCs/>
          <w:sz w:val="32"/>
          <w:szCs w:val="32"/>
        </w:rPr>
      </w:pPr>
      <w:r>
        <w:rPr>
          <w:rFonts w:hint="eastAsia" w:ascii="楷体_GB2312" w:hAnsi="楷体" w:eastAsia="楷体_GB2312"/>
          <w:b/>
          <w:bCs/>
          <w:sz w:val="32"/>
          <w:szCs w:val="32"/>
        </w:rPr>
        <w:t>第二章  毕业论文（设计）工作的基本要求</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第三条 </w:t>
      </w:r>
      <w:r>
        <w:rPr>
          <w:rFonts w:hint="eastAsia" w:ascii="楷体_GB2312" w:hAnsi="楷体" w:eastAsia="楷体_GB2312"/>
          <w:sz w:val="32"/>
          <w:szCs w:val="32"/>
        </w:rPr>
        <w:t xml:space="preserve"> 毕业论文（设计）工作应包括选题、开题、撰写、定稿、评阅、答辩和成绩评定等环节。每一个环节都不能省略，更不能走过场，第一个环节没有完成，就不能进入第二个环节，依此类推。</w:t>
      </w:r>
    </w:p>
    <w:p>
      <w:pPr>
        <w:tabs>
          <w:tab w:val="left" w:pos="0"/>
        </w:tabs>
        <w:spacing w:before="5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第四条</w:t>
      </w:r>
      <w:r>
        <w:rPr>
          <w:rFonts w:hint="eastAsia" w:ascii="楷体_GB2312" w:hAnsi="楷体" w:eastAsia="楷体_GB2312"/>
          <w:sz w:val="32"/>
          <w:szCs w:val="32"/>
        </w:rPr>
        <w:t xml:space="preserve">  毕业论文（设计）工作的时间安排</w:t>
      </w:r>
    </w:p>
    <w:p>
      <w:pPr>
        <w:tabs>
          <w:tab w:val="left" w:pos="0"/>
        </w:tabs>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1.毕业论文（设计）的选题、开题，应在第七学期结束前完成。</w:t>
      </w:r>
    </w:p>
    <w:p>
      <w:pPr>
        <w:tabs>
          <w:tab w:val="left" w:pos="0"/>
        </w:tabs>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2.毕业论文（设计）的撰写、评阅、答辩等工作，安排在第八学期。</w:t>
      </w:r>
    </w:p>
    <w:p>
      <w:pPr>
        <w:tabs>
          <w:tab w:val="left" w:pos="0"/>
        </w:tabs>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3.毕业论文（设计）的答辩工作，应于每年毕业生离校前两周结束。</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第五条 </w:t>
      </w:r>
      <w:r>
        <w:rPr>
          <w:rFonts w:hint="eastAsia" w:ascii="楷体_GB2312" w:hAnsi="楷体" w:eastAsia="楷体_GB2312"/>
          <w:sz w:val="32"/>
          <w:szCs w:val="32"/>
        </w:rPr>
        <w:t xml:space="preserve"> 用于毕业论文（设计）的课题应符合专业的人才培养目标和毕业生应具备的基本能力的要求，要有利于巩固、深化和扩大学生所学的知识，使学生受到科学研究（设计）能力的基本训练。毕业论文（设计）的课题选择应尽量结合我国社会发展、经济和文化建设、生产和科学研究等的实际。题目不能过大、过空，也不能过小、过窄，难度要适当，份量要合理，涉及的知识范围、理论深度要符合学生在校所学理论知识和实践技能的实际情况，使学生经过努力能够完成，鼓励优秀学生适当加大份量和难度。</w:t>
      </w:r>
    </w:p>
    <w:p>
      <w:pPr>
        <w:tabs>
          <w:tab w:val="left" w:pos="0"/>
        </w:tabs>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论文类课题应具有一定的理论意义、现实意义或学术价值；设计类课题要具有实际应用意义。理工类专业选题应紧密结合当前的科技和经济发展，走向学术前沿。工科专业层次以设计类题目为主，目的在于强化工程意识，培育工程实践能力。</w:t>
      </w:r>
    </w:p>
    <w:p>
      <w:pPr>
        <w:tabs>
          <w:tab w:val="left" w:pos="0"/>
        </w:tabs>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文献综合类题目原则上不能作为毕业论文题目。</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第六条  </w:t>
      </w:r>
      <w:r>
        <w:rPr>
          <w:rFonts w:hint="eastAsia" w:ascii="楷体_GB2312" w:hAnsi="楷体" w:eastAsia="楷体_GB2312"/>
          <w:sz w:val="32"/>
          <w:szCs w:val="32"/>
        </w:rPr>
        <w:t>选题程序：毕业论文（设计）题目一般由指导老师按照专业培养目标要求，结合生产实际，科学研究以及经济、社会发展的需求提出，经系（部）研究讨论确定，报院审批。在符合专业培养目标的前提下，学生可以根据自己的兴趣、特长和其他有利条件，提出毕业论文（设计）选题或由指导老师和学生商定选题，按程序申请审批。毕业论文（设计）题目确定后，指导老师填写毕业论文（设计）任务书，经学院（系部）审批后执行。</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第七条 </w:t>
      </w:r>
      <w:r>
        <w:rPr>
          <w:rFonts w:hint="eastAsia" w:ascii="楷体_GB2312" w:hAnsi="楷体" w:eastAsia="楷体_GB2312"/>
          <w:sz w:val="32"/>
          <w:szCs w:val="32"/>
        </w:rPr>
        <w:t xml:space="preserve"> 毕业论文（设计）的选题工作应在教师指导下进行。选题原则上为一人一题。对于需要由二人或几个人共同完成的选题，则必须明确每一学生要独立完成的任务，且题目上应加上不同的副标题。</w:t>
      </w:r>
    </w:p>
    <w:p>
      <w:pPr>
        <w:tabs>
          <w:tab w:val="left" w:pos="0"/>
        </w:tabs>
        <w:spacing w:before="62" w:beforeLines="20" w:line="560" w:lineRule="exact"/>
        <w:ind w:firstLine="619" w:firstLineChars="200"/>
        <w:rPr>
          <w:rFonts w:hint="eastAsia" w:ascii="楷体_GB2312" w:hAnsi="楷体" w:eastAsia="楷体_GB2312"/>
          <w:sz w:val="32"/>
          <w:szCs w:val="32"/>
        </w:rPr>
      </w:pPr>
      <w:r>
        <w:rPr>
          <w:rFonts w:hint="eastAsia" w:ascii="楷体_GB2312" w:hAnsi="楷体" w:eastAsia="楷体_GB2312"/>
          <w:b/>
          <w:bCs/>
          <w:spacing w:val="-6"/>
          <w:sz w:val="32"/>
          <w:szCs w:val="32"/>
        </w:rPr>
        <w:t>第八条</w:t>
      </w:r>
      <w:r>
        <w:rPr>
          <w:rFonts w:hint="eastAsia" w:ascii="楷体_GB2312" w:hAnsi="楷体" w:eastAsia="楷体_GB2312"/>
          <w:spacing w:val="-6"/>
          <w:sz w:val="32"/>
          <w:szCs w:val="32"/>
        </w:rPr>
        <w:t xml:space="preserve">  经过审查后题目应按学生人数，以不少于1.2：1</w:t>
      </w:r>
      <w:r>
        <w:rPr>
          <w:rFonts w:hint="eastAsia" w:ascii="楷体_GB2312" w:hAnsi="楷体" w:eastAsia="楷体_GB2312"/>
          <w:sz w:val="32"/>
          <w:szCs w:val="32"/>
        </w:rPr>
        <w:t>的比例向学生公布,实行“双向选择”，学生在选题过程中可向教师咨询，进一步了解题目具体情况。选题一旦确定，一般不得中途更换。若确需更换选题，须经院（系）学术委员</w:t>
      </w:r>
      <w:r>
        <w:rPr>
          <w:rFonts w:hint="eastAsia" w:ascii="楷体_GB2312" w:hAnsi="楷体" w:eastAsia="楷体_GB2312"/>
          <w:spacing w:val="-4"/>
          <w:sz w:val="32"/>
          <w:szCs w:val="32"/>
        </w:rPr>
        <w:t>会批准，报教务处备案，并在开题报告书“指导教师意见”栏</w:t>
      </w:r>
      <w:r>
        <w:rPr>
          <w:rFonts w:hint="eastAsia" w:ascii="楷体_GB2312" w:hAnsi="楷体" w:eastAsia="楷体_GB2312"/>
          <w:sz w:val="32"/>
          <w:szCs w:val="32"/>
        </w:rPr>
        <w:t>内由指导教师作出说明。自选课题的学生必须是科研基础较好的学生。选题应注意年度间题目的不断更新与类型的多样化，同一专业不同学年之间的更新率应不低于75%。</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第九条 </w:t>
      </w:r>
      <w:r>
        <w:rPr>
          <w:rFonts w:hint="eastAsia" w:ascii="楷体_GB2312" w:hAnsi="楷体" w:eastAsia="楷体_GB2312"/>
          <w:sz w:val="32"/>
          <w:szCs w:val="32"/>
        </w:rPr>
        <w:t xml:space="preserve"> 学生毕业论文（设计）的题目确定以后，指导教师要根据课题性质、难度等制定科学合理的指导计划，对学生各阶段的工作任务进行说明、要求和指导。学生应结合选题进行文献资料的查阅（不少于10篇），了解选题的研究背景、当前动态、已有成果以及达到的水平等。学生应具备熟练查阅中外文献资料的能力，毕业论文（设计）中至少参</w:t>
      </w:r>
      <w:r>
        <w:rPr>
          <w:rFonts w:hint="eastAsia" w:ascii="楷体_GB2312" w:hAnsi="楷体" w:eastAsia="楷体_GB2312"/>
          <w:spacing w:val="-8"/>
          <w:sz w:val="32"/>
          <w:szCs w:val="32"/>
        </w:rPr>
        <w:t>考1篇外文文献（古代汉语、古代文学选题方向不作要求）。各</w:t>
      </w:r>
      <w:r>
        <w:rPr>
          <w:rFonts w:hint="eastAsia" w:ascii="楷体_GB2312" w:hAnsi="楷体" w:eastAsia="楷体_GB2312"/>
          <w:sz w:val="32"/>
          <w:szCs w:val="32"/>
        </w:rPr>
        <w:t>院（系）可根据专业特点对学生完成与毕业论文（设计）有关的外文资料翻译提出具体要求。</w:t>
      </w:r>
    </w:p>
    <w:p>
      <w:pPr>
        <w:tabs>
          <w:tab w:val="left" w:pos="0"/>
        </w:tabs>
        <w:spacing w:before="62" w:beforeLines="20" w:line="560" w:lineRule="exact"/>
        <w:ind w:firstLine="619" w:firstLineChars="200"/>
        <w:rPr>
          <w:rFonts w:hint="eastAsia" w:ascii="楷体_GB2312" w:hAnsi="楷体" w:eastAsia="楷体_GB2312"/>
          <w:sz w:val="32"/>
          <w:szCs w:val="32"/>
        </w:rPr>
      </w:pPr>
      <w:r>
        <w:rPr>
          <w:rFonts w:hint="eastAsia" w:ascii="楷体_GB2312" w:hAnsi="楷体" w:eastAsia="楷体_GB2312"/>
          <w:b/>
          <w:bCs/>
          <w:spacing w:val="-6"/>
          <w:sz w:val="32"/>
          <w:szCs w:val="32"/>
        </w:rPr>
        <w:t xml:space="preserve">第十条 </w:t>
      </w:r>
      <w:r>
        <w:rPr>
          <w:rFonts w:hint="eastAsia" w:ascii="楷体_GB2312" w:hAnsi="楷体" w:eastAsia="楷体_GB2312"/>
          <w:spacing w:val="-6"/>
          <w:sz w:val="32"/>
          <w:szCs w:val="32"/>
        </w:rPr>
        <w:t xml:space="preserve"> 每个毕业论文（设计）选题都必须进行开题，学</w:t>
      </w:r>
      <w:r>
        <w:rPr>
          <w:rFonts w:hint="eastAsia" w:ascii="楷体_GB2312" w:hAnsi="楷体" w:eastAsia="楷体_GB2312"/>
          <w:sz w:val="32"/>
          <w:szCs w:val="32"/>
        </w:rPr>
        <w:t>生按照指导教师的要求，在论文题目所涉及的领域内，大量查阅资料，了解研究动态，设计合理的课题研究方案，撰写论文写作提纲，认真填写《湖南科技学院本科毕业论文（设计）开题报告书》，经指导教师同意后，由院（系）安排进行开题报告。开题报告通过后，进入论文写作阶段。开题报告会秘书负责记录学生的开题报告会全过程，开题报告会秘书不能是开题学生本人，开题日期必须按实填写，开题报告会记要内容要详细具体，不能只写“通过”二字，也不能只罗列所提问题，而要将问题和回答详细记录下来，所有参与人签名必须是亲笔签名，不能打印，不能由他人代签或冒签。开题报告中的“指导小组意见”和“院（系）部意见”不能漏填和漏签名，更不能派专人来签名或签署意见。</w:t>
      </w:r>
    </w:p>
    <w:p>
      <w:pPr>
        <w:spacing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第十一条 </w:t>
      </w:r>
      <w:r>
        <w:rPr>
          <w:rFonts w:hint="eastAsia" w:ascii="楷体_GB2312" w:hAnsi="楷体" w:eastAsia="楷体_GB2312"/>
          <w:sz w:val="32"/>
          <w:szCs w:val="32"/>
        </w:rPr>
        <w:t xml:space="preserve"> 学生在规定的时间内，要按照指导教师的要求和开题报告拟定的方案，完成研究，取得预期成果，并按</w:t>
      </w:r>
      <w:r>
        <w:rPr>
          <w:rFonts w:hint="eastAsia" w:ascii="楷体_GB2312" w:hAnsi="楷体" w:eastAsia="楷体_GB2312"/>
          <w:spacing w:val="-8"/>
          <w:sz w:val="32"/>
          <w:szCs w:val="32"/>
        </w:rPr>
        <w:t>《湖南科技学院本科生毕业论文（设计）撰写规范》的要求，完</w:t>
      </w:r>
      <w:r>
        <w:rPr>
          <w:rFonts w:hint="eastAsia" w:ascii="楷体_GB2312" w:hAnsi="楷体" w:eastAsia="楷体_GB2312"/>
          <w:sz w:val="32"/>
          <w:szCs w:val="32"/>
        </w:rPr>
        <w:t>成论文（设计）的初稿撰写工作。毕业论文(设计)的体例必</w:t>
      </w:r>
      <w:r>
        <w:rPr>
          <w:rFonts w:hint="eastAsia" w:ascii="楷体_GB2312" w:hAnsi="楷体" w:eastAsia="楷体_GB2312"/>
          <w:spacing w:val="-6"/>
          <w:sz w:val="32"/>
          <w:szCs w:val="32"/>
        </w:rPr>
        <w:t>须符合学术论文的要求，符合学术论文的基本要求。用语、格</w:t>
      </w:r>
      <w:r>
        <w:rPr>
          <w:rFonts w:hint="eastAsia" w:ascii="楷体_GB2312" w:hAnsi="楷体" w:eastAsia="楷体_GB2312"/>
          <w:sz w:val="32"/>
          <w:szCs w:val="32"/>
        </w:rPr>
        <w:t>式、图表、数据、量和单位、各种资料引用规范化、符合标准。论题、中文与英文内容摘要、关键词、注释、参考文献必须一应俱全。学生毕业论文（设计）原则上不得少于10000</w:t>
      </w:r>
      <w:r>
        <w:rPr>
          <w:rFonts w:hint="eastAsia" w:ascii="楷体_GB2312" w:hAnsi="楷体" w:eastAsia="楷体_GB2312"/>
          <w:spacing w:val="-8"/>
          <w:sz w:val="32"/>
          <w:szCs w:val="32"/>
        </w:rPr>
        <w:t>字，各学院（系）也可根据专业特点研究决定具体字数要求，其</w:t>
      </w:r>
      <w:r>
        <w:rPr>
          <w:rFonts w:hint="eastAsia" w:ascii="楷体_GB2312" w:hAnsi="楷体" w:eastAsia="楷体_GB2312"/>
          <w:sz w:val="32"/>
          <w:szCs w:val="32"/>
        </w:rPr>
        <w:t>中包括不少于1500字的文献综述；参考文献中原则上至少有</w:t>
      </w:r>
      <w:r>
        <w:rPr>
          <w:rFonts w:hint="eastAsia" w:ascii="楷体_GB2312" w:hAnsi="楷体" w:eastAsia="楷体_GB2312"/>
          <w:spacing w:val="-8"/>
          <w:sz w:val="32"/>
          <w:szCs w:val="32"/>
        </w:rPr>
        <w:t>一篇外文参考文献；关键词为3—5个；论文必须编写目录，论</w:t>
      </w:r>
      <w:r>
        <w:rPr>
          <w:rFonts w:hint="eastAsia" w:ascii="楷体_GB2312" w:hAnsi="楷体" w:eastAsia="楷体_GB2312"/>
          <w:sz w:val="32"/>
          <w:szCs w:val="32"/>
        </w:rPr>
        <w:t>文（设计）必须标明页码；论文（设计）注释及参考文献必须符合学术论文的要求，不能只给出作者姓名、文章名或书名，还应标明出版社名称及出版时间或期刊名称、刊期和页码。必须将所有的原始材料装订成册，具体顺序为论文封面、任务书、开题报告书、中期检查、评审表、答辩记录表、论文正文。必须统一用A4纸、左侧装订，不能用活页夹。各院（系）必须统一封面用纸，并按学校要求统一封面格式。专业名称的表述一定要准确。</w:t>
      </w:r>
    </w:p>
    <w:p>
      <w:pPr>
        <w:tabs>
          <w:tab w:val="left" w:pos="0"/>
        </w:tabs>
        <w:spacing w:before="156" w:beforeLines="5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第十二条 </w:t>
      </w:r>
      <w:r>
        <w:rPr>
          <w:rFonts w:hint="eastAsia" w:ascii="楷体_GB2312" w:hAnsi="楷体" w:eastAsia="楷体_GB2312"/>
          <w:sz w:val="32"/>
          <w:szCs w:val="32"/>
        </w:rPr>
        <w:t xml:space="preserve"> 初稿完成后，须交指导教师审阅，并在指导</w:t>
      </w:r>
      <w:r>
        <w:rPr>
          <w:rFonts w:hint="eastAsia" w:ascii="楷体_GB2312" w:hAnsi="楷体" w:eastAsia="楷体_GB2312"/>
          <w:spacing w:val="-6"/>
          <w:sz w:val="32"/>
          <w:szCs w:val="32"/>
        </w:rPr>
        <w:t>教师指导下进行修改。毕业论文定稿后，交指导教师评阅，指</w:t>
      </w:r>
      <w:r>
        <w:rPr>
          <w:rFonts w:hint="eastAsia" w:ascii="楷体_GB2312" w:hAnsi="楷体" w:eastAsia="楷体_GB2312"/>
          <w:sz w:val="32"/>
          <w:szCs w:val="32"/>
        </w:rPr>
        <w:t>导教师认真评阅后，给出恰当的评语和成绩，然后交评阅教师进行评阅，并写出具体的评阅意见。</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第十三条  </w:t>
      </w:r>
      <w:r>
        <w:rPr>
          <w:rFonts w:hint="eastAsia" w:ascii="楷体_GB2312" w:hAnsi="楷体" w:eastAsia="楷体_GB2312"/>
          <w:sz w:val="32"/>
          <w:szCs w:val="32"/>
        </w:rPr>
        <w:t>评阅教师应具有一定的专业学术水平、讲师及以上专业技术职称，应对学生承担的课题任务的完成情况、论文（设计）的水平、成果质量和应用价值等进行客观公正的评价，给出评阅意见和成绩，提出是否可以参加答辩的建议。凡评阅成绩不合格的毕业论文（设计），须经论文指导教师小组复评后决定进行修改或答辩。每篇论文必须安排教师认真评阅，不能由指导教师代写其他教师的名字；评阅教师的评分必须按评审内涵逐项评分，并且如实评定等级并且签名，一个学生的论文只能有一个评阅教师，不能评分是一位教师，写评语又是另一位教师；评阅教师的评语不能只写“同意指导教师意见”，应有自己的评阅意见；评阅教师一定要对论文的内容进行客观、具体的评价，评语不能太简单、太空泛，更不能千篇一律（一般要求150个汉字以上）。论文（设计）的评阅工作须在答辩一周前完成。</w:t>
      </w:r>
    </w:p>
    <w:p>
      <w:pPr>
        <w:tabs>
          <w:tab w:val="left" w:pos="0"/>
        </w:tabs>
        <w:spacing w:before="62" w:beforeLines="20" w:line="560" w:lineRule="exact"/>
        <w:ind w:firstLine="643" w:firstLineChars="200"/>
        <w:rPr>
          <w:rFonts w:hint="eastAsia" w:ascii="楷体_GB2312" w:hAnsi="楷体" w:eastAsia="楷体_GB2312"/>
          <w:bCs/>
          <w:sz w:val="32"/>
          <w:szCs w:val="32"/>
        </w:rPr>
      </w:pPr>
      <w:r>
        <w:rPr>
          <w:rFonts w:hint="eastAsia" w:ascii="楷体_GB2312" w:hAnsi="楷体" w:eastAsia="楷体_GB2312"/>
          <w:b/>
          <w:bCs/>
          <w:sz w:val="32"/>
          <w:szCs w:val="32"/>
        </w:rPr>
        <w:t xml:space="preserve">第十四条  </w:t>
      </w:r>
      <w:r>
        <w:rPr>
          <w:rFonts w:hint="eastAsia" w:ascii="楷体_GB2312" w:hAnsi="楷体" w:eastAsia="楷体_GB2312"/>
          <w:bCs/>
          <w:sz w:val="32"/>
          <w:szCs w:val="32"/>
        </w:rPr>
        <w:t>学生毕业论文（设计）答辩资格认定由各院（系）毕业论文（设计）工作领导小组负责组织实施。在答辩前一周，各院（系）毕业论文（设计）工作领导小组对申</w:t>
      </w:r>
      <w:r>
        <w:rPr>
          <w:rFonts w:hint="eastAsia" w:ascii="楷体_GB2312" w:hAnsi="楷体" w:eastAsia="楷体_GB2312"/>
          <w:bCs/>
          <w:spacing w:val="-6"/>
          <w:sz w:val="32"/>
          <w:szCs w:val="32"/>
        </w:rPr>
        <w:t>请答辩学生的资格进行审查，并组织填写答辩资格审查表，申</w:t>
      </w:r>
      <w:r>
        <w:rPr>
          <w:rFonts w:hint="eastAsia" w:ascii="楷体_GB2312" w:hAnsi="楷体" w:eastAsia="楷体_GB2312"/>
          <w:bCs/>
          <w:sz w:val="32"/>
          <w:szCs w:val="32"/>
        </w:rPr>
        <w:t>请答辩学生在资格审查合格后，方可进行答辩工作。</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属以下情况之一的学生不得参加答辩：</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1.自接到</w:t>
      </w:r>
      <w:r>
        <w:rPr>
          <w:rFonts w:hint="eastAsia" w:ascii="楷体_GB2312" w:hAnsi="楷体" w:eastAsia="楷体_GB2312"/>
          <w:bCs/>
          <w:sz w:val="32"/>
          <w:szCs w:val="32"/>
        </w:rPr>
        <w:t>毕业论文（设计）任务书之日起，毕业论文（设计）的有效工作时间</w:t>
      </w:r>
      <w:r>
        <w:rPr>
          <w:rFonts w:hint="eastAsia" w:ascii="楷体_GB2312" w:hAnsi="楷体" w:eastAsia="楷体_GB2312"/>
          <w:sz w:val="32"/>
          <w:szCs w:val="32"/>
        </w:rPr>
        <w:t>没有达到规定最低要求者；</w:t>
      </w:r>
    </w:p>
    <w:p>
      <w:pPr>
        <w:spacing w:line="560" w:lineRule="exact"/>
        <w:ind w:firstLine="616" w:firstLineChars="200"/>
        <w:rPr>
          <w:rFonts w:hint="eastAsia" w:ascii="楷体_GB2312" w:hAnsi="楷体" w:eastAsia="楷体_GB2312"/>
          <w:sz w:val="32"/>
          <w:szCs w:val="32"/>
        </w:rPr>
      </w:pPr>
      <w:r>
        <w:rPr>
          <w:rFonts w:hint="eastAsia" w:ascii="楷体_GB2312" w:hAnsi="楷体" w:eastAsia="楷体_GB2312"/>
          <w:spacing w:val="-6"/>
          <w:sz w:val="32"/>
          <w:szCs w:val="32"/>
        </w:rPr>
        <w:t>2.</w:t>
      </w:r>
      <w:r>
        <w:rPr>
          <w:rFonts w:hint="eastAsia" w:ascii="楷体_GB2312" w:hAnsi="楷体" w:eastAsia="楷体_GB2312"/>
          <w:bCs/>
          <w:spacing w:val="-6"/>
          <w:sz w:val="32"/>
          <w:szCs w:val="32"/>
        </w:rPr>
        <w:t>毕业论文（设计）文档不齐全（任务书、开题报告、定</w:t>
      </w:r>
      <w:r>
        <w:rPr>
          <w:rFonts w:hint="eastAsia" w:ascii="楷体_GB2312" w:hAnsi="楷体" w:eastAsia="楷体_GB2312"/>
          <w:bCs/>
          <w:sz w:val="32"/>
          <w:szCs w:val="32"/>
        </w:rPr>
        <w:t>稿论文、指导老师评语、评阅老师评语、答辩申请暨资格审查表等任缺一件）或文档不符合规范要求者；</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3.剽窃他人成果或者直接照抄他人论文者。</w:t>
      </w:r>
    </w:p>
    <w:p>
      <w:pPr>
        <w:spacing w:line="560" w:lineRule="exact"/>
        <w:ind w:firstLine="643" w:firstLineChars="200"/>
        <w:rPr>
          <w:rFonts w:hint="eastAsia" w:ascii="楷体_GB2312" w:hAnsi="楷体" w:eastAsia="楷体_GB2312"/>
          <w:bCs/>
          <w:sz w:val="32"/>
          <w:szCs w:val="32"/>
        </w:rPr>
      </w:pPr>
      <w:r>
        <w:rPr>
          <w:rFonts w:hint="eastAsia" w:ascii="楷体_GB2312" w:hAnsi="楷体" w:eastAsia="楷体_GB2312"/>
          <w:b/>
          <w:bCs/>
          <w:sz w:val="32"/>
          <w:szCs w:val="32"/>
        </w:rPr>
        <w:t xml:space="preserve">第十五条  </w:t>
      </w:r>
      <w:r>
        <w:rPr>
          <w:rFonts w:hint="eastAsia" w:ascii="楷体_GB2312" w:hAnsi="楷体" w:eastAsia="楷体_GB2312"/>
          <w:bCs/>
          <w:sz w:val="32"/>
          <w:szCs w:val="32"/>
        </w:rPr>
        <w:t>学生在校期间，凡在省级以上学术刊物（本</w:t>
      </w:r>
      <w:r>
        <w:rPr>
          <w:rFonts w:hint="eastAsia" w:ascii="楷体_GB2312" w:hAnsi="楷体" w:eastAsia="楷体_GB2312"/>
          <w:bCs/>
          <w:spacing w:val="-8"/>
          <w:sz w:val="32"/>
          <w:szCs w:val="32"/>
        </w:rPr>
        <w:t>校学报除外）上发表的密切结合所学专业的论著或学术论文，经</w:t>
      </w:r>
      <w:r>
        <w:rPr>
          <w:rFonts w:hint="eastAsia" w:ascii="楷体_GB2312" w:hAnsi="楷体" w:eastAsia="楷体_GB2312"/>
          <w:bCs/>
          <w:sz w:val="32"/>
          <w:szCs w:val="32"/>
        </w:rPr>
        <w:t>学生本人申请，并经院（系）毕业论文（设计）工作领导小组及教务处审核批准同意，可视为等同毕业论文（设计）成果，可直接参加答辩。部分学院的特殊专业可以采用特殊形式（如拍摄影视作品、举办个人成果汇报会、音乐会、舞蹈</w:t>
      </w:r>
      <w:r>
        <w:rPr>
          <w:rFonts w:hint="eastAsia" w:ascii="楷体_GB2312" w:hAnsi="楷体" w:eastAsia="楷体_GB2312"/>
          <w:bCs/>
          <w:spacing w:val="-4"/>
          <w:sz w:val="32"/>
          <w:szCs w:val="32"/>
        </w:rPr>
        <w:t>汇演、产品发明、美术作品展等）代替毕业论文（设计），学</w:t>
      </w:r>
      <w:r>
        <w:rPr>
          <w:rFonts w:hint="eastAsia" w:ascii="楷体_GB2312" w:hAnsi="楷体" w:eastAsia="楷体_GB2312"/>
          <w:bCs/>
          <w:sz w:val="32"/>
          <w:szCs w:val="32"/>
        </w:rPr>
        <w:t>院须提前上报具体方案，由教务处审核批准同意，也可以视为等同毕业论文（设计）成果，可直接参加答辩。</w:t>
      </w:r>
    </w:p>
    <w:p>
      <w:pPr>
        <w:spacing w:line="560" w:lineRule="exact"/>
        <w:ind w:firstLine="619" w:firstLineChars="200"/>
        <w:rPr>
          <w:rFonts w:hint="eastAsia" w:ascii="楷体_GB2312" w:hAnsi="楷体" w:eastAsia="楷体_GB2312"/>
          <w:sz w:val="32"/>
          <w:szCs w:val="32"/>
        </w:rPr>
      </w:pPr>
      <w:r>
        <w:rPr>
          <w:rFonts w:hint="eastAsia" w:ascii="楷体_GB2312" w:hAnsi="楷体" w:eastAsia="楷体_GB2312"/>
          <w:b/>
          <w:bCs/>
          <w:spacing w:val="-6"/>
          <w:sz w:val="32"/>
          <w:szCs w:val="32"/>
        </w:rPr>
        <w:t xml:space="preserve">第十六条  </w:t>
      </w:r>
      <w:r>
        <w:rPr>
          <w:rFonts w:hint="eastAsia" w:ascii="楷体_GB2312" w:hAnsi="楷体" w:eastAsia="楷体_GB2312"/>
          <w:spacing w:val="-6"/>
          <w:sz w:val="32"/>
          <w:szCs w:val="32"/>
        </w:rPr>
        <w:t>每个本科毕业生必须进行毕业论文（设计）的</w:t>
      </w:r>
      <w:r>
        <w:rPr>
          <w:rFonts w:hint="eastAsia" w:ascii="楷体_GB2312" w:hAnsi="楷体" w:eastAsia="楷体_GB2312"/>
          <w:sz w:val="32"/>
          <w:szCs w:val="32"/>
        </w:rPr>
        <w:t>答辩。对毕业论文（设计）答辩要严格把关。各</w:t>
      </w:r>
      <w:r>
        <w:rPr>
          <w:rFonts w:hint="eastAsia" w:ascii="楷体_GB2312" w:hAnsi="楷体" w:eastAsia="楷体_GB2312"/>
          <w:bCs/>
          <w:sz w:val="32"/>
          <w:szCs w:val="32"/>
        </w:rPr>
        <w:t>院（系）</w:t>
      </w:r>
      <w:r>
        <w:rPr>
          <w:rFonts w:hint="eastAsia" w:ascii="楷体_GB2312" w:hAnsi="楷体" w:eastAsia="楷体_GB2312"/>
          <w:sz w:val="32"/>
          <w:szCs w:val="32"/>
        </w:rPr>
        <w:t>要在校学术委员会的统一部署下，做好毕业论文答辩工作，按专业成立若干毕业论文（设计）答辩小组，一般由5名教师组成，其中至少要有一名教授或副教授参加，并主持答辩小组的工作。论文评阅人应作为答辩小组成员参加答辩。各</w:t>
      </w:r>
      <w:r>
        <w:rPr>
          <w:rFonts w:hint="eastAsia" w:ascii="楷体_GB2312" w:hAnsi="楷体" w:eastAsia="楷体_GB2312"/>
          <w:bCs/>
          <w:sz w:val="32"/>
          <w:szCs w:val="32"/>
        </w:rPr>
        <w:t>院（系）</w:t>
      </w:r>
      <w:r>
        <w:rPr>
          <w:rFonts w:hint="eastAsia" w:ascii="楷体_GB2312" w:hAnsi="楷体" w:eastAsia="楷体_GB2312"/>
          <w:sz w:val="32"/>
          <w:szCs w:val="32"/>
        </w:rPr>
        <w:t>最迟在答辩前一周将毕业论文答辩委员会和各专业答辩小组的组成及工作安排情况报教务处备案。</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第十七条 </w:t>
      </w:r>
      <w:r>
        <w:rPr>
          <w:rFonts w:hint="eastAsia" w:ascii="楷体_GB2312" w:hAnsi="楷体" w:eastAsia="楷体_GB2312"/>
          <w:sz w:val="32"/>
          <w:szCs w:val="32"/>
        </w:rPr>
        <w:t xml:space="preserve"> 各</w:t>
      </w:r>
      <w:r>
        <w:rPr>
          <w:rFonts w:hint="eastAsia" w:ascii="楷体_GB2312" w:hAnsi="楷体" w:eastAsia="楷体_GB2312"/>
          <w:bCs/>
          <w:sz w:val="32"/>
          <w:szCs w:val="32"/>
        </w:rPr>
        <w:t>院（系）</w:t>
      </w:r>
      <w:r>
        <w:rPr>
          <w:rFonts w:hint="eastAsia" w:ascii="楷体_GB2312" w:hAnsi="楷体" w:eastAsia="楷体_GB2312"/>
          <w:sz w:val="32"/>
          <w:szCs w:val="32"/>
        </w:rPr>
        <w:t>根据专业和学科特点以及学生论文（设计）的实际情况，统一答辩要求和评分标准。答辩主要考核学生毕业论文（设计）的观点正确与否，内容的新颖程度以及论述的严谨程度，同时也要考核学生对所学知识的掌握程度、运用与应变能力等。答辩时，所质询的内容应为课题中的关键问题和与课题密切相关的基础理论、基础知识和基本方法。答辩秘书负责记录学生的答辩过程，答辨秘书不能是答辩学生本人，答辩日期必须按实填写，答辩会记要内容要详细具体，不能只写“通过”二字，也不能只罗列所提问题，而要将问题和回答详细记录下来，所有参与人签名必须是亲笔签名，不能打印，不能由他人代签或冒签。“答</w:t>
      </w:r>
      <w:r>
        <w:rPr>
          <w:rFonts w:hint="eastAsia" w:ascii="楷体_GB2312" w:hAnsi="楷体" w:eastAsia="楷体_GB2312"/>
          <w:spacing w:val="-6"/>
          <w:sz w:val="32"/>
          <w:szCs w:val="32"/>
        </w:rPr>
        <w:t>辩小组意见”一栏，必须给出具体的意见和评定成绩等级，而</w:t>
      </w:r>
      <w:r>
        <w:rPr>
          <w:rFonts w:hint="eastAsia" w:ascii="楷体_GB2312" w:hAnsi="楷体" w:eastAsia="楷体_GB2312"/>
          <w:sz w:val="32"/>
          <w:szCs w:val="32"/>
        </w:rPr>
        <w:t>不能只写“通过”，且负责人必须亲笔签名。</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第十八条</w:t>
      </w:r>
      <w:r>
        <w:rPr>
          <w:rFonts w:hint="eastAsia" w:ascii="楷体_GB2312" w:hAnsi="楷体" w:eastAsia="楷体_GB2312"/>
          <w:sz w:val="32"/>
          <w:szCs w:val="32"/>
        </w:rPr>
        <w:t xml:space="preserve">  毕业论文（设计）答辩工作结束后，各院（系）对论文答辩成绩进行审核、整理、汇总，并报院（系）学位委员会审核后，填写《湖南科技学院本科生毕业论文（设计）情况汇总表》，报教务处备案。</w:t>
      </w:r>
    </w:p>
    <w:p>
      <w:pPr>
        <w:tabs>
          <w:tab w:val="left" w:pos="0"/>
        </w:tabs>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第十九条 </w:t>
      </w:r>
      <w:r>
        <w:rPr>
          <w:rFonts w:hint="eastAsia" w:ascii="楷体_GB2312" w:hAnsi="楷体" w:eastAsia="楷体_GB2312"/>
          <w:sz w:val="32"/>
          <w:szCs w:val="32"/>
        </w:rPr>
        <w:t xml:space="preserve"> 各院（系）要对毕业论文（设计）的有关材料进行整理、归档、保存，包括开题报告及其记录、毕业论文（设计）原件、指导教师意见及评定成绩、评阅教师评阅意见及评定成绩、答辩小组意见及评定成绩、答辩记录等。</w:t>
      </w:r>
    </w:p>
    <w:p>
      <w:pPr>
        <w:spacing w:before="468" w:beforeLines="150" w:after="156" w:afterLines="50" w:line="560" w:lineRule="exact"/>
        <w:ind w:firstLine="643" w:firstLineChars="200"/>
        <w:jc w:val="center"/>
        <w:rPr>
          <w:rFonts w:hint="eastAsia" w:ascii="楷体_GB2312" w:hAnsi="楷体" w:eastAsia="楷体_GB2312"/>
          <w:b/>
          <w:bCs/>
          <w:sz w:val="32"/>
          <w:szCs w:val="32"/>
        </w:rPr>
      </w:pPr>
      <w:r>
        <w:rPr>
          <w:rFonts w:hint="eastAsia" w:ascii="楷体_GB2312" w:hAnsi="楷体" w:eastAsia="楷体_GB2312"/>
          <w:b/>
          <w:bCs/>
          <w:sz w:val="32"/>
          <w:szCs w:val="32"/>
        </w:rPr>
        <w:t>第三章  指导老师</w:t>
      </w:r>
    </w:p>
    <w:p>
      <w:pPr>
        <w:spacing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第二十条 </w:t>
      </w:r>
      <w:r>
        <w:rPr>
          <w:rFonts w:hint="eastAsia" w:ascii="楷体_GB2312" w:hAnsi="楷体" w:eastAsia="楷体_GB2312"/>
          <w:sz w:val="32"/>
          <w:szCs w:val="32"/>
        </w:rPr>
        <w:t xml:space="preserve"> 指导教师应由具有实际设计（科研）和毕业论文（设计）指导经验的中级职称以上教师担任，助教和未从事过毕业论文（设计）指导工作的教师不能独立指导毕业论文（设计）工作。指导老师指导毕业论文（设计）的学生人数要求如下：文科和理科所带学生人数不得超过10人；工科所带学生人数不得超过8人。</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指导教师原则上在本校教师中产生。如果确实因为工作需要或必须在校外聘请指导老师的学院（系），可向有关科研院所或企事业单位聘请相当于讲师以上职称、有指导经验的工程技术人员或研究人员参与指导工作，各学院（系）必须提前填报《湖南科技学院毕业论文（设计）外聘指导教师资格认定表》</w:t>
      </w:r>
      <w:r>
        <w:rPr>
          <w:rFonts w:hint="eastAsia" w:ascii="楷体_GB2312" w:hAnsi="楷体" w:eastAsia="楷体_GB2312"/>
          <w:color w:val="0000FF"/>
          <w:sz w:val="32"/>
          <w:szCs w:val="32"/>
        </w:rPr>
        <w:t>，</w:t>
      </w:r>
      <w:r>
        <w:rPr>
          <w:rFonts w:hint="eastAsia" w:ascii="楷体_GB2312" w:hAnsi="楷体" w:eastAsia="楷体_GB2312"/>
          <w:sz w:val="32"/>
          <w:szCs w:val="32"/>
        </w:rPr>
        <w:t>将需要聘请的理由和拟聘任指导教师的基本情况报教务处审批同意。所需指导费用除按人事处的规定给予外聘教师的课时津贴外，其余费用在各学院（系）毕业论文（设计）计划经费中列支。学生所在院（系）领导小组必须确保对外聘教师的工作状况进行质量监控，协调有关问题。</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第二十一条 </w:t>
      </w:r>
      <w:r>
        <w:rPr>
          <w:rFonts w:hint="eastAsia" w:ascii="楷体_GB2312" w:hAnsi="楷体" w:eastAsia="楷体_GB2312"/>
          <w:sz w:val="32"/>
          <w:szCs w:val="32"/>
        </w:rPr>
        <w:t xml:space="preserve"> 指导教师职责：</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w:t>
      </w:r>
      <w:r>
        <w:rPr>
          <w:rFonts w:hint="eastAsia" w:ascii="楷体_GB2312" w:hAnsi="楷体" w:eastAsia="楷体_GB2312"/>
          <w:spacing w:val="-4"/>
          <w:sz w:val="32"/>
          <w:szCs w:val="32"/>
        </w:rPr>
        <w:t>1.拟定毕业论文（设计）选题。根据选题原则和要求，提</w:t>
      </w:r>
      <w:r>
        <w:rPr>
          <w:rFonts w:hint="eastAsia" w:ascii="楷体_GB2312" w:hAnsi="楷体" w:eastAsia="楷体_GB2312"/>
          <w:sz w:val="32"/>
          <w:szCs w:val="32"/>
        </w:rPr>
        <w:t>出选择题目并附选题的主要内容、目的、要求和现有条件等供学生选择，指导学生选题。</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2.提供给学生相关的参考书目或文献资料目录，指导学生拟定调研提纲、确定工作进度、收集参考资料、形成课题研究方案、撰写论文提纲与开题报告等。</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3.检查学生毕业论文（设计）课题的研究进展情况，在</w:t>
      </w:r>
      <w:r>
        <w:rPr>
          <w:rFonts w:hint="eastAsia" w:ascii="楷体_GB2312" w:hAnsi="楷体" w:eastAsia="楷体_GB2312"/>
          <w:spacing w:val="-8"/>
          <w:sz w:val="32"/>
          <w:szCs w:val="32"/>
        </w:rPr>
        <w:t>撰写过程中，指导教师与学生见面至少8次，随时发现问题，及</w:t>
      </w:r>
      <w:r>
        <w:rPr>
          <w:rFonts w:hint="eastAsia" w:ascii="楷体_GB2312" w:hAnsi="楷体" w:eastAsia="楷体_GB2312"/>
          <w:sz w:val="32"/>
          <w:szCs w:val="32"/>
        </w:rPr>
        <w:t>时帮助学生解决遇到的困难，适时地抽查实验记录或工作笔记，及时调整与完善研究计划，以确保研究的顺利进行。</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4.指导学生按照《湖南科技学院本科生毕业论文（设计）</w:t>
      </w:r>
      <w:r>
        <w:rPr>
          <w:rFonts w:hint="eastAsia" w:ascii="楷体_GB2312" w:hAnsi="楷体" w:eastAsia="楷体_GB2312"/>
          <w:spacing w:val="-6"/>
          <w:sz w:val="32"/>
          <w:szCs w:val="32"/>
        </w:rPr>
        <w:t>撰写规范》要求撰写毕业论文（设计）。毕业论文（设计）初</w:t>
      </w:r>
      <w:r>
        <w:rPr>
          <w:rFonts w:hint="eastAsia" w:ascii="楷体_GB2312" w:hAnsi="楷体" w:eastAsia="楷体_GB2312"/>
          <w:sz w:val="32"/>
          <w:szCs w:val="32"/>
        </w:rPr>
        <w:t>稿完成后，指导教师应与学生一起，充分讨论实验结果或论点，指导论文的修改、定稿工作。论文（设计）的格式、文字表述、标点符号、图表设计、数据处理、照片张贴、标本配述、中外文摘要、参考资料的附录和注释等，应符合《湖南科技学院本科生毕业论文（设计）撰写规范》的相关规定。</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5.评阅所指导的毕业论文（设计），作出实事求是的评价，并提出建议成绩。</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6.指导学生进行答辩。</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7.指导教师在指导毕业论文（设计）时，特别要注意不要包办代替，不能“抱着学生走”，而应指导学生独立进行撰写；不能撒手不管，而要严格要求，具体指导，认真负责。</w:t>
      </w:r>
    </w:p>
    <w:p>
      <w:pPr>
        <w:spacing w:before="468" w:beforeLines="150" w:after="156" w:afterLines="50" w:line="56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第四章  毕业论文（设计）评定等级和标准</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第二十二条</w:t>
      </w:r>
      <w:r>
        <w:rPr>
          <w:rFonts w:hint="eastAsia" w:ascii="楷体_GB2312" w:hAnsi="楷体" w:eastAsia="楷体_GB2312"/>
          <w:sz w:val="32"/>
          <w:szCs w:val="32"/>
        </w:rPr>
        <w:t xml:space="preserve">  毕业论文（设计）的成绩分为优秀、良好、中等、及格和不及格五个等级。实评总分90分以上记为优秀，80分以上记为良好，70分以上记为中等，60分以上记为及格，60分以下记为不及格。毕业论文(设计)的成绩评</w:t>
      </w:r>
      <w:r>
        <w:rPr>
          <w:rFonts w:hint="eastAsia" w:ascii="楷体_GB2312" w:hAnsi="楷体" w:eastAsia="楷体_GB2312"/>
          <w:spacing w:val="-6"/>
          <w:sz w:val="32"/>
          <w:szCs w:val="32"/>
        </w:rPr>
        <w:t>定主要包括指导教师评定、评阅教师评定、答辩小组评定、学院（系）学术委员会评定及学校学术委员会评定五个环节。论</w:t>
      </w:r>
      <w:r>
        <w:rPr>
          <w:rFonts w:hint="eastAsia" w:ascii="楷体_GB2312" w:hAnsi="楷体" w:eastAsia="楷体_GB2312"/>
          <w:sz w:val="32"/>
          <w:szCs w:val="32"/>
        </w:rPr>
        <w:t>文(设计)最终评定等级原则上以院（系）学术委员会意见为</w:t>
      </w:r>
      <w:r>
        <w:rPr>
          <w:rFonts w:hint="eastAsia" w:ascii="楷体_GB2312" w:hAnsi="楷体" w:eastAsia="楷体_GB2312"/>
          <w:spacing w:val="-6"/>
          <w:sz w:val="32"/>
          <w:szCs w:val="32"/>
        </w:rPr>
        <w:t>准，当学校评审评定等级与院（系）学术委员会不一致时，以</w:t>
      </w:r>
      <w:r>
        <w:rPr>
          <w:rFonts w:hint="eastAsia" w:ascii="楷体_GB2312" w:hAnsi="楷体" w:eastAsia="楷体_GB2312"/>
          <w:sz w:val="32"/>
          <w:szCs w:val="32"/>
        </w:rPr>
        <w:t>学校评定的等级为准。学生答辩结束后，答辩小组要对指导教师意见及建议成绩、评阅教师意见及建议成绩、论文水平和质量、学生答辩情况等进行充分讨论，按照毕业论文（设计）评分标准评定成绩。所有成绩评定不能打印或盖章，一律要手写。</w:t>
      </w:r>
    </w:p>
    <w:p>
      <w:pPr>
        <w:spacing w:before="62" w:beforeLines="20" w:line="560" w:lineRule="exact"/>
        <w:ind w:firstLine="619" w:firstLineChars="200"/>
        <w:rPr>
          <w:rFonts w:hint="eastAsia" w:ascii="楷体_GB2312" w:hAnsi="楷体" w:eastAsia="楷体_GB2312"/>
          <w:sz w:val="32"/>
          <w:szCs w:val="32"/>
        </w:rPr>
      </w:pPr>
      <w:r>
        <w:rPr>
          <w:rFonts w:hint="eastAsia" w:ascii="楷体_GB2312" w:hAnsi="楷体" w:eastAsia="楷体_GB2312"/>
          <w:b/>
          <w:bCs/>
          <w:spacing w:val="-6"/>
          <w:sz w:val="32"/>
          <w:szCs w:val="32"/>
        </w:rPr>
        <w:t xml:space="preserve">第二十三条 </w:t>
      </w:r>
      <w:r>
        <w:rPr>
          <w:rFonts w:hint="eastAsia" w:ascii="楷体_GB2312" w:hAnsi="楷体" w:eastAsia="楷体_GB2312"/>
          <w:spacing w:val="-6"/>
          <w:sz w:val="32"/>
          <w:szCs w:val="32"/>
        </w:rPr>
        <w:t xml:space="preserve"> 毕业论文（设计）成绩评定及计算办法。答</w:t>
      </w:r>
      <w:r>
        <w:rPr>
          <w:rFonts w:hint="eastAsia" w:ascii="楷体_GB2312" w:hAnsi="楷体" w:eastAsia="楷体_GB2312"/>
          <w:sz w:val="32"/>
          <w:szCs w:val="32"/>
        </w:rPr>
        <w:t>辩小组成员按百分制评分，5分为一个分差，加和平均后为答辩成绩。答辩成绩按照标准折合为优秀、良好、中等、及格、不及格，记入毕业论文（设计）成绩汇总表。</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第二十四条 </w:t>
      </w:r>
      <w:r>
        <w:rPr>
          <w:rFonts w:hint="eastAsia" w:ascii="楷体_GB2312" w:hAnsi="楷体" w:eastAsia="楷体_GB2312"/>
          <w:sz w:val="32"/>
          <w:szCs w:val="32"/>
        </w:rPr>
        <w:t xml:space="preserve"> 毕业论文（设计）的成绩按百分制录入教务信息系统，参与平均学分绩点的计算。</w:t>
      </w:r>
    </w:p>
    <w:p>
      <w:pPr>
        <w:spacing w:before="62" w:beforeLines="20" w:line="560" w:lineRule="exact"/>
        <w:ind w:left="643"/>
        <w:rPr>
          <w:rFonts w:hint="eastAsia" w:ascii="楷体_GB2312" w:hAnsi="楷体" w:eastAsia="楷体_GB2312"/>
          <w:sz w:val="32"/>
          <w:szCs w:val="32"/>
        </w:rPr>
      </w:pPr>
      <w:r>
        <w:rPr>
          <w:rFonts w:hint="eastAsia" w:ascii="楷体_GB2312" w:hAnsi="楷体" w:eastAsia="楷体_GB2312"/>
          <w:b/>
          <w:bCs/>
          <w:sz w:val="32"/>
          <w:szCs w:val="32"/>
        </w:rPr>
        <w:t xml:space="preserve">第二十五条 </w:t>
      </w:r>
      <w:r>
        <w:rPr>
          <w:rFonts w:hint="eastAsia" w:ascii="楷体_GB2312" w:hAnsi="楷体" w:eastAsia="楷体_GB2312"/>
          <w:sz w:val="32"/>
          <w:szCs w:val="32"/>
        </w:rPr>
        <w:t xml:space="preserve"> 毕业论文（设计）评分标准</w:t>
      </w:r>
      <w:r>
        <w:rPr>
          <w:rFonts w:hint="eastAsia" w:ascii="楷体_GB2312" w:hAnsi="楷体" w:eastAsia="楷体_GB2312"/>
          <w:sz w:val="32"/>
          <w:szCs w:val="32"/>
        </w:rPr>
        <w:br w:type="textWrapping"/>
      </w:r>
      <w:r>
        <w:rPr>
          <w:rFonts w:hint="eastAsia" w:ascii="楷体_GB2312" w:hAnsi="楷体" w:eastAsia="楷体_GB2312"/>
          <w:sz w:val="32"/>
          <w:szCs w:val="32"/>
        </w:rPr>
        <w:t>1.优秀（90-100分）评分标准</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（1）在毕业论文（设计）工作期间，工作刻苦努力，态度认真，遵守各项纪律， 表现出色。</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（2）能按时、全面、独立地完成与毕业论文（设计）有关的各项工作，表现出较强的综合分析问题和解决问题的能力。</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（3）选题符合专业培养目标，体现学科、专业特点和教学计划的基本要求，达到毕业论文（设计）综合训练的目的。</w:t>
      </w:r>
    </w:p>
    <w:p>
      <w:pPr>
        <w:spacing w:before="62" w:beforeLines="20" w:line="560" w:lineRule="exact"/>
        <w:ind w:firstLine="648" w:firstLineChars="200"/>
        <w:rPr>
          <w:rFonts w:hint="eastAsia" w:ascii="楷体_GB2312" w:hAnsi="楷体" w:eastAsia="楷体_GB2312"/>
          <w:sz w:val="32"/>
          <w:szCs w:val="32"/>
        </w:rPr>
      </w:pPr>
      <w:r>
        <w:rPr>
          <w:rFonts w:hint="eastAsia" w:ascii="楷体_GB2312" w:hAnsi="楷体" w:eastAsia="楷体_GB2312"/>
          <w:spacing w:val="2"/>
          <w:sz w:val="32"/>
          <w:szCs w:val="32"/>
        </w:rPr>
        <w:t>（4）论文立论正确，理论分析透彻，解决问题方案恰当，</w:t>
      </w:r>
      <w:r>
        <w:rPr>
          <w:rFonts w:hint="eastAsia" w:ascii="楷体_GB2312" w:hAnsi="楷体" w:eastAsia="楷体_GB2312"/>
          <w:spacing w:val="-8"/>
          <w:sz w:val="32"/>
          <w:szCs w:val="32"/>
        </w:rPr>
        <w:t>结</w:t>
      </w:r>
      <w:r>
        <w:rPr>
          <w:rFonts w:hint="eastAsia" w:ascii="楷体_GB2312" w:hAnsi="楷体" w:eastAsia="楷体_GB2312"/>
          <w:sz w:val="32"/>
          <w:szCs w:val="32"/>
        </w:rPr>
        <w:t>论正确，并有一定创新性，有较高的学术水平或实用价值。</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（5）论文使用的概念正确，语言表达准确，结构严谨，条理清楚，逻辑性强。</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（6）符合学术论文的基本要求。用语、格式、图表、数据、量和单位、各种资料引用规范化、符合标准。</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（7）具有较强的独立查阅并运用文献资料的能力，原始数据搜集得当，实验或计算结果准确可靠。</w:t>
      </w:r>
    </w:p>
    <w:p>
      <w:pPr>
        <w:spacing w:before="62" w:beforeLines="20" w:line="560" w:lineRule="exact"/>
        <w:ind w:firstLine="616" w:firstLineChars="200"/>
        <w:rPr>
          <w:rFonts w:hint="eastAsia" w:ascii="楷体_GB2312" w:hAnsi="楷体" w:eastAsia="楷体_GB2312"/>
          <w:sz w:val="32"/>
          <w:szCs w:val="32"/>
        </w:rPr>
      </w:pPr>
      <w:r>
        <w:rPr>
          <w:rFonts w:hint="eastAsia" w:ascii="楷体_GB2312" w:hAnsi="楷体" w:eastAsia="楷体_GB2312"/>
          <w:spacing w:val="-6"/>
          <w:sz w:val="32"/>
          <w:szCs w:val="32"/>
        </w:rPr>
        <w:t>（8）答辩时，能够简明和正确地阐述论文的主要内容，思</w:t>
      </w:r>
      <w:r>
        <w:rPr>
          <w:rFonts w:hint="eastAsia" w:ascii="楷体_GB2312" w:hAnsi="楷体" w:eastAsia="楷体_GB2312"/>
          <w:sz w:val="32"/>
          <w:szCs w:val="32"/>
        </w:rPr>
        <w:t>路清晰，论点正确。回答问题准确、深入，有自己的见解，有应变能力，有较强的语言表达能力。</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2.良好（80-89分）评分标准</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（1）在毕业论文（设计）工作期间，工作努力，态度认真，遵守各项纪律，表现良好。</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（2）能按时、全面、独立地完成与毕业论文（设计）有关的各项，具有一定的综合分析问题和解决问题的能力。</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（3）选题符合专业培养目标，体现学科、专业特点和教学计划的基本要求，达到毕业论文（设计）综合训练的目的。</w:t>
      </w:r>
    </w:p>
    <w:p>
      <w:pPr>
        <w:spacing w:before="62" w:beforeLines="20" w:line="560" w:lineRule="exact"/>
        <w:ind w:firstLine="592" w:firstLineChars="200"/>
        <w:rPr>
          <w:rFonts w:hint="eastAsia" w:ascii="楷体_GB2312" w:hAnsi="楷体" w:eastAsia="楷体_GB2312"/>
          <w:sz w:val="32"/>
          <w:szCs w:val="32"/>
        </w:rPr>
      </w:pPr>
      <w:r>
        <w:rPr>
          <w:rFonts w:hint="eastAsia" w:ascii="楷体_GB2312" w:hAnsi="楷体" w:eastAsia="楷体_GB2312"/>
          <w:spacing w:val="-12"/>
          <w:sz w:val="32"/>
          <w:szCs w:val="32"/>
        </w:rPr>
        <w:t>（4）论文立论正确，理论分析得当，解决问题方案实用，结</w:t>
      </w:r>
      <w:r>
        <w:rPr>
          <w:rFonts w:hint="eastAsia" w:ascii="楷体_GB2312" w:hAnsi="楷体" w:eastAsia="楷体_GB2312"/>
          <w:sz w:val="32"/>
          <w:szCs w:val="32"/>
        </w:rPr>
        <w:t>论正确。</w:t>
      </w:r>
    </w:p>
    <w:p>
      <w:pPr>
        <w:spacing w:before="62" w:beforeLines="20" w:line="560" w:lineRule="exact"/>
        <w:ind w:firstLine="600" w:firstLineChars="200"/>
        <w:rPr>
          <w:rFonts w:hint="eastAsia" w:ascii="楷体_GB2312" w:hAnsi="楷体" w:eastAsia="楷体_GB2312"/>
          <w:sz w:val="32"/>
          <w:szCs w:val="32"/>
        </w:rPr>
      </w:pPr>
      <w:r>
        <w:rPr>
          <w:rFonts w:hint="eastAsia" w:ascii="楷体_GB2312" w:hAnsi="楷体" w:eastAsia="楷体_GB2312"/>
          <w:spacing w:val="-10"/>
          <w:sz w:val="32"/>
          <w:szCs w:val="32"/>
        </w:rPr>
        <w:t>（5）论文使用的概念正确，语言表达准确，结构严谨，条</w:t>
      </w:r>
      <w:r>
        <w:rPr>
          <w:rFonts w:hint="eastAsia" w:ascii="楷体_GB2312" w:hAnsi="楷体" w:eastAsia="楷体_GB2312"/>
          <w:sz w:val="32"/>
          <w:szCs w:val="32"/>
        </w:rPr>
        <w:t>理清楚。</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（6）符合学术论文的基本要求。用语、格式、图表、数据、量和单位、各种资料引用规范化、符合标准。</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（7）具有一定的独立查阅文献资料并运用的能力，原始数据搜集得当，实验或计算结果准确。</w:t>
      </w:r>
    </w:p>
    <w:p>
      <w:pPr>
        <w:spacing w:before="62" w:beforeLines="20" w:line="560" w:lineRule="exact"/>
        <w:ind w:firstLine="600" w:firstLineChars="200"/>
        <w:rPr>
          <w:rFonts w:hint="eastAsia" w:ascii="楷体_GB2312" w:hAnsi="楷体" w:eastAsia="楷体_GB2312"/>
          <w:sz w:val="32"/>
          <w:szCs w:val="32"/>
        </w:rPr>
      </w:pPr>
      <w:r>
        <w:rPr>
          <w:rFonts w:hint="eastAsia" w:ascii="楷体_GB2312" w:hAnsi="楷体" w:eastAsia="楷体_GB2312"/>
          <w:spacing w:val="-10"/>
          <w:sz w:val="32"/>
          <w:szCs w:val="32"/>
        </w:rPr>
        <w:t>（8）答辩时，能够简明和正确地阐述论文的主要内容，思</w:t>
      </w:r>
      <w:r>
        <w:rPr>
          <w:rFonts w:hint="eastAsia" w:ascii="楷体_GB2312" w:hAnsi="楷体" w:eastAsia="楷体_GB2312"/>
          <w:sz w:val="32"/>
          <w:szCs w:val="32"/>
        </w:rPr>
        <w:t>路清晰，论点基本正确。回答问题准确，有应变能力，有较好的语言表达能力。</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3.中等（70-79分）评分标准</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（1）在毕业论文（设计）工作期间，工作努力，态度比较认真，遵守各项纪律，表现一般。</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（2）能按时、全面、独立地完成与毕业论文（设计）有关的各项，具有一定的综合分析问题和解决问题的能力。</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（3）选题符合专业培养目标，体现学科、专业特点和教学计划的基本要求，达到毕业论文（设计）综合训练的目的。</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（4）论文立论正确，理论分析无原则性错误，解决问题方案比较实用，结论正确。</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（5）论文使用的概念正确，语句通顺，条理比较清楚。</w:t>
      </w:r>
    </w:p>
    <w:p>
      <w:pPr>
        <w:spacing w:before="62" w:beforeLines="20" w:line="560" w:lineRule="exact"/>
        <w:ind w:firstLine="608" w:firstLineChars="200"/>
        <w:rPr>
          <w:rFonts w:hint="eastAsia" w:ascii="楷体_GB2312" w:hAnsi="楷体" w:eastAsia="楷体_GB2312"/>
          <w:sz w:val="32"/>
          <w:szCs w:val="32"/>
        </w:rPr>
      </w:pPr>
      <w:r>
        <w:rPr>
          <w:rFonts w:hint="eastAsia" w:ascii="楷体_GB2312" w:hAnsi="楷体" w:eastAsia="楷体_GB2312"/>
          <w:spacing w:val="-8"/>
          <w:sz w:val="32"/>
          <w:szCs w:val="32"/>
        </w:rPr>
        <w:t>（6）论文中使用的图表，设计中的图纸书写和制作时，能</w:t>
      </w:r>
      <w:r>
        <w:rPr>
          <w:rFonts w:hint="eastAsia" w:ascii="楷体_GB2312" w:hAnsi="楷体" w:eastAsia="楷体_GB2312"/>
          <w:sz w:val="32"/>
          <w:szCs w:val="32"/>
        </w:rPr>
        <w:t>够执行国家相关标准，基本规范。</w:t>
      </w:r>
    </w:p>
    <w:p>
      <w:pPr>
        <w:spacing w:before="62" w:beforeLines="20" w:line="560" w:lineRule="exact"/>
        <w:ind w:firstLine="608" w:firstLineChars="200"/>
        <w:rPr>
          <w:rFonts w:hint="eastAsia" w:ascii="楷体_GB2312" w:hAnsi="楷体" w:eastAsia="楷体_GB2312"/>
          <w:sz w:val="32"/>
          <w:szCs w:val="32"/>
        </w:rPr>
      </w:pPr>
      <w:r>
        <w:rPr>
          <w:rFonts w:hint="eastAsia" w:ascii="楷体_GB2312" w:hAnsi="楷体" w:eastAsia="楷体_GB2312"/>
          <w:spacing w:val="-8"/>
          <w:sz w:val="32"/>
          <w:szCs w:val="32"/>
        </w:rPr>
        <w:t>（7）能独立查阅并运用文献资料，原始数据搜集得当，实</w:t>
      </w:r>
      <w:r>
        <w:rPr>
          <w:rFonts w:hint="eastAsia" w:ascii="楷体_GB2312" w:hAnsi="楷体" w:eastAsia="楷体_GB2312"/>
          <w:sz w:val="32"/>
          <w:szCs w:val="32"/>
        </w:rPr>
        <w:t>验或计算结果基本准确。</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 xml:space="preserve">（8）答辩时，能够简明地阐述论文的主要内容，回答所提出的问题基本正确，但缺乏深入的分析。 </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4.及格（60-69分）评分标准</w:t>
      </w:r>
    </w:p>
    <w:p>
      <w:pPr>
        <w:spacing w:before="62" w:beforeLines="20" w:line="560" w:lineRule="exact"/>
        <w:ind w:firstLine="592" w:firstLineChars="200"/>
        <w:rPr>
          <w:rFonts w:hint="eastAsia" w:ascii="楷体_GB2312" w:hAnsi="楷体" w:eastAsia="楷体_GB2312"/>
          <w:spacing w:val="-8"/>
          <w:sz w:val="32"/>
          <w:szCs w:val="32"/>
        </w:rPr>
      </w:pPr>
      <w:r>
        <w:rPr>
          <w:rFonts w:hint="eastAsia" w:ascii="楷体_GB2312" w:hAnsi="楷体" w:eastAsia="楷体_GB2312"/>
          <w:spacing w:val="-12"/>
          <w:sz w:val="32"/>
          <w:szCs w:val="32"/>
        </w:rPr>
        <w:t>（1）在毕业论文（设计）工作期间，基本遵守各项纪律，表</w:t>
      </w:r>
      <w:r>
        <w:rPr>
          <w:rFonts w:hint="eastAsia" w:ascii="楷体_GB2312" w:hAnsi="楷体" w:eastAsia="楷体_GB2312"/>
          <w:sz w:val="32"/>
          <w:szCs w:val="32"/>
        </w:rPr>
        <w:t>现一般。</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（2）能按时完成毕业论文（设计）有关任务。</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（3）选题符合专业培养目标，体现学科、专业特点和教学计划的基本要求，达到毕业论文（设计）综合训练的目的。</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（4）论文立论正确，理论分析无原则性的错误，解决问题方案有一定的参考价值，结论基本正确。</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（5）论文使用的概念基本正确，语句通顺，条理比较清楚。</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（6）论文中使用的图表，设计中的图纸在书写和制作时，能够执行国家相关标准，基本规范。</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（7）能够查阅并运用文献资料，原始数据搜集得当，实验或计算结论基本准确。</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（8）答辩时，能够阐述出论文的主要内容，主要问题能回答出，或经答辩教师启发答出，回答问题较为肤浅。</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5.不及格（0-59分）评分标准</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（1）剽窃他人学术成果、伪造数据、图表和实验结果者。</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（2）在毕业论文（设计）工作期间，不能遵守各项纪律，态度不积极。</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（3）不能按时完成毕业论文（设计）有关任务，或雷同部分超过40%。</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（4）论文中理论分析有原则性错误，或结论不正确。</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（5）论文中使用的概念有不正确之处，栏目不齐全，书写不工整。</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（6）论文中的图、表，设计中的图纸在书写和制作时，不能正确地执行国家相关标准，不规范。</w:t>
      </w:r>
    </w:p>
    <w:p>
      <w:pPr>
        <w:spacing w:before="5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（7）原始数据搜集不得当，实验或计算结论不准确。</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    （8）答辩时，不能够正确阐述论文的主要内容，基本概念不清楚，经答辩教师启发，回答仍有错误或回答不出。</w:t>
      </w:r>
    </w:p>
    <w:p>
      <w:pPr>
        <w:spacing w:before="50" w:line="560" w:lineRule="exact"/>
        <w:ind w:left="640"/>
        <w:rPr>
          <w:rFonts w:hint="eastAsia" w:ascii="楷体_GB2312" w:hAnsi="楷体" w:eastAsia="楷体_GB2312"/>
          <w:sz w:val="32"/>
          <w:szCs w:val="32"/>
        </w:rPr>
      </w:pPr>
      <w:r>
        <w:rPr>
          <w:rFonts w:hint="eastAsia" w:ascii="楷体_GB2312" w:hAnsi="楷体" w:eastAsia="楷体_GB2312"/>
          <w:sz w:val="32"/>
          <w:szCs w:val="32"/>
        </w:rPr>
        <w:t xml:space="preserve">6.有下列情况之一者不能评为优秀： </w:t>
      </w:r>
      <w:r>
        <w:rPr>
          <w:rFonts w:hint="eastAsia" w:ascii="楷体_GB2312" w:hAnsi="楷体" w:eastAsia="楷体_GB2312"/>
          <w:sz w:val="32"/>
          <w:szCs w:val="32"/>
        </w:rPr>
        <w:br w:type="textWrapping"/>
      </w:r>
      <w:r>
        <w:rPr>
          <w:rFonts w:hint="eastAsia" w:ascii="楷体_GB2312" w:hAnsi="楷体" w:eastAsia="楷体_GB2312"/>
          <w:sz w:val="32"/>
          <w:szCs w:val="32"/>
        </w:rPr>
        <w:t xml:space="preserve">①无重大改进或独特见解，无一定实用价值； </w:t>
      </w:r>
      <w:r>
        <w:rPr>
          <w:rFonts w:hint="eastAsia" w:ascii="楷体_GB2312" w:hAnsi="楷体" w:eastAsia="楷体_GB2312"/>
          <w:sz w:val="32"/>
          <w:szCs w:val="32"/>
        </w:rPr>
        <w:br w:type="textWrapping"/>
      </w:r>
      <w:r>
        <w:rPr>
          <w:rFonts w:hint="eastAsia" w:ascii="楷体_GB2312" w:hAnsi="楷体" w:eastAsia="楷体_GB2312"/>
          <w:sz w:val="32"/>
          <w:szCs w:val="32"/>
        </w:rPr>
        <w:t>②毕业论文（设计）中机械地摘抄资料；</w:t>
      </w:r>
      <w:r>
        <w:rPr>
          <w:rFonts w:hint="eastAsia" w:ascii="楷体_GB2312" w:hAnsi="楷体" w:eastAsia="楷体_GB2312"/>
          <w:sz w:val="32"/>
          <w:szCs w:val="32"/>
        </w:rPr>
        <w:br w:type="textWrapping"/>
      </w:r>
      <w:r>
        <w:rPr>
          <w:rFonts w:hint="eastAsia" w:ascii="楷体_GB2312" w:hAnsi="楷体" w:eastAsia="楷体_GB2312"/>
          <w:sz w:val="32"/>
          <w:szCs w:val="32"/>
        </w:rPr>
        <w:t>③毕业论文（设计）中出现概念性错误；</w:t>
      </w:r>
      <w:r>
        <w:rPr>
          <w:rFonts w:hint="eastAsia" w:ascii="楷体_GB2312" w:hAnsi="楷体" w:eastAsia="楷体_GB2312"/>
          <w:sz w:val="32"/>
          <w:szCs w:val="32"/>
        </w:rPr>
        <w:br w:type="textWrapping"/>
      </w:r>
      <w:r>
        <w:rPr>
          <w:rFonts w:hint="eastAsia" w:ascii="楷体_GB2312" w:hAnsi="楷体" w:eastAsia="楷体_GB2312"/>
          <w:sz w:val="32"/>
          <w:szCs w:val="32"/>
        </w:rPr>
        <w:t>④毕业论文（设计）装订错乱、不整洁；</w:t>
      </w:r>
      <w:r>
        <w:rPr>
          <w:rFonts w:hint="eastAsia" w:ascii="楷体_GB2312" w:hAnsi="楷体" w:eastAsia="楷体_GB2312"/>
          <w:sz w:val="32"/>
          <w:szCs w:val="32"/>
        </w:rPr>
        <w:br w:type="textWrapping"/>
      </w:r>
      <w:r>
        <w:rPr>
          <w:rFonts w:hint="eastAsia" w:ascii="楷体_GB2312" w:hAnsi="楷体" w:eastAsia="楷体_GB2312"/>
          <w:sz w:val="32"/>
          <w:szCs w:val="32"/>
        </w:rPr>
        <w:t>⑤图表中有一处以上不符合国家规范；</w:t>
      </w:r>
      <w:r>
        <w:rPr>
          <w:rFonts w:hint="eastAsia" w:ascii="楷体_GB2312" w:hAnsi="楷体" w:eastAsia="楷体_GB2312"/>
          <w:sz w:val="32"/>
          <w:szCs w:val="32"/>
        </w:rPr>
        <w:br w:type="textWrapping"/>
      </w:r>
      <w:r>
        <w:rPr>
          <w:rFonts w:hint="eastAsia" w:ascii="楷体_GB2312" w:hAnsi="楷体" w:eastAsia="楷体_GB2312"/>
          <w:sz w:val="32"/>
          <w:szCs w:val="32"/>
        </w:rPr>
        <w:t>⑥答辩时有一个与专题关系密切的问题回答不准确。</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第二十六条  </w:t>
      </w:r>
      <w:r>
        <w:rPr>
          <w:rFonts w:hint="eastAsia" w:ascii="楷体_GB2312" w:hAnsi="楷体" w:eastAsia="楷体_GB2312"/>
          <w:sz w:val="32"/>
          <w:szCs w:val="32"/>
        </w:rPr>
        <w:t>毕业论文（设计）的成绩评定应严格按标准执行，同一专业、同一年级的成绩分布情况应符合《湖南科技学院考试工作管理条例》的有关规定。</w:t>
      </w:r>
    </w:p>
    <w:p>
      <w:pPr>
        <w:spacing w:before="468" w:beforeLines="150" w:after="156" w:afterLines="50" w:line="560" w:lineRule="exact"/>
        <w:ind w:firstLine="643" w:firstLineChars="200"/>
        <w:jc w:val="center"/>
        <w:rPr>
          <w:rFonts w:hint="eastAsia" w:ascii="楷体_GB2312" w:hAnsi="楷体" w:eastAsia="楷体_GB2312"/>
          <w:b/>
          <w:bCs/>
          <w:sz w:val="32"/>
          <w:szCs w:val="32"/>
        </w:rPr>
      </w:pPr>
      <w:r>
        <w:rPr>
          <w:rFonts w:hint="eastAsia" w:ascii="楷体_GB2312" w:hAnsi="楷体" w:eastAsia="楷体_GB2312"/>
          <w:b/>
          <w:bCs/>
          <w:sz w:val="32"/>
          <w:szCs w:val="32"/>
        </w:rPr>
        <w:t>第五章  毕业论文（设计）组织管理与评估</w:t>
      </w:r>
    </w:p>
    <w:p>
      <w:pPr>
        <w:spacing w:before="156" w:beforeLines="5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第二十七条 </w:t>
      </w:r>
      <w:r>
        <w:rPr>
          <w:rFonts w:hint="eastAsia" w:ascii="楷体_GB2312" w:hAnsi="楷体" w:eastAsia="楷体_GB2312"/>
          <w:sz w:val="32"/>
          <w:szCs w:val="32"/>
        </w:rPr>
        <w:t xml:space="preserve"> 毕业论文（设计）工作在主管校长领导下，实行校、院、系（部）三级管理。</w:t>
      </w:r>
    </w:p>
    <w:p>
      <w:pPr>
        <w:spacing w:line="560" w:lineRule="exact"/>
        <w:ind w:firstLine="659" w:firstLineChars="200"/>
        <w:rPr>
          <w:rFonts w:hint="eastAsia" w:ascii="楷体_GB2312" w:hAnsi="楷体" w:eastAsia="楷体_GB2312"/>
          <w:b/>
          <w:sz w:val="32"/>
          <w:szCs w:val="32"/>
        </w:rPr>
      </w:pPr>
      <w:r>
        <w:rPr>
          <w:rFonts w:hint="eastAsia" w:ascii="楷体_GB2312" w:hAnsi="楷体" w:eastAsia="楷体_GB2312"/>
          <w:b/>
          <w:bCs/>
          <w:spacing w:val="4"/>
          <w:sz w:val="32"/>
          <w:szCs w:val="32"/>
        </w:rPr>
        <w:t xml:space="preserve">第二十八条  </w:t>
      </w:r>
      <w:r>
        <w:rPr>
          <w:rFonts w:hint="eastAsia" w:ascii="楷体_GB2312" w:hAnsi="楷体" w:eastAsia="楷体_GB2312"/>
          <w:spacing w:val="4"/>
          <w:sz w:val="32"/>
          <w:szCs w:val="32"/>
        </w:rPr>
        <w:t>教务处在主管校长的领导下，宏观管理、</w:t>
      </w:r>
      <w:r>
        <w:rPr>
          <w:rFonts w:hint="eastAsia" w:ascii="楷体_GB2312" w:hAnsi="楷体" w:eastAsia="楷体_GB2312"/>
          <w:sz w:val="32"/>
          <w:szCs w:val="32"/>
        </w:rPr>
        <w:t>组织、指导、协调毕业论文（设计）工作，制订毕业论文（设计）管理规章制度，汇总各院（系）毕业论文（设计）选题和指导老师安排情况，检查执行情况，协调有关事宜，实施毕业论文（设计）前期、中期、后期检查工作，对未达到各阶段进度、质量要求或违反有关规定的院（系）及个人提出整改要求，汇编优秀毕业论文（设计），开展经验交流和推广等活动。</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第二十九条</w:t>
      </w:r>
      <w:r>
        <w:rPr>
          <w:rFonts w:hint="eastAsia" w:ascii="楷体_GB2312" w:hAnsi="楷体" w:eastAsia="楷体_GB2312"/>
          <w:sz w:val="32"/>
          <w:szCs w:val="32"/>
        </w:rPr>
        <w:t xml:space="preserve">  各教学学院（系）应成立毕业论文（设计）工作领导小组。领导小组主要职责：</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1.根据本条例，结合学科特点，组织制定本院（系）学生毕业论文（设计）工作管理细则；</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2.确定毕业论文（设计）工作的时间安排和工作计划；</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3.组织审查毕业论文（设计）选题，布置毕业论文（设计）工作任务；</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4.定期检查毕业论文（设计）工作的进展情况，协调处理毕业论文（设计）工作中出现的问题；</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5.组织毕业论文（设计）审查、评阅、答辩及成绩复查与公布；</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6.组织评选本院（系）优秀毕业论文（设计），并向学校推荐；</w:t>
      </w:r>
    </w:p>
    <w:p>
      <w:pPr>
        <w:spacing w:before="62" w:beforeLines="2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7.做好学院（系）毕业论文（设计）工作总结和毕业论文（设计）的归档工作。</w:t>
      </w:r>
    </w:p>
    <w:p>
      <w:pPr>
        <w:spacing w:before="5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第三十条  </w:t>
      </w:r>
      <w:r>
        <w:rPr>
          <w:rFonts w:hint="eastAsia" w:ascii="楷体_GB2312" w:hAnsi="楷体" w:eastAsia="楷体_GB2312"/>
          <w:sz w:val="32"/>
          <w:szCs w:val="32"/>
        </w:rPr>
        <w:t>系（部）成立以系（部）主任为组长的毕业论文（设计）指导小组。贯彻执行学校有关毕业论文（设计）工作的规定，结合本专业培养目标和特点，确定毕业论文（设计）指导教师，组织毕业论文（设计）选题并报院审核。根据审查的毕业论文（设计）题目，进行毕业论文（设计）全过程管理，及时整理学生的毕业论文（设计）及相关材料并交院资料室存档。</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第三十一条</w:t>
      </w:r>
      <w:r>
        <w:rPr>
          <w:rFonts w:hint="eastAsia" w:ascii="楷体_GB2312" w:hAnsi="楷体" w:eastAsia="楷体_GB2312"/>
          <w:sz w:val="32"/>
          <w:szCs w:val="32"/>
        </w:rPr>
        <w:t xml:space="preserve">  毕业论文(设计)总的评分要形成梯度，呈正态分布。既要防止偏严，又要防止偏松。“优秀”等级要从严掌握，一般要控制在15％以内，“不及格”等级要慎重对待，一般要控制在5％以内。不及格论文要求重新写作。</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第三十二条 </w:t>
      </w:r>
      <w:r>
        <w:rPr>
          <w:rFonts w:hint="eastAsia" w:ascii="楷体_GB2312" w:hAnsi="楷体" w:eastAsia="楷体_GB2312"/>
          <w:sz w:val="32"/>
          <w:szCs w:val="32"/>
        </w:rPr>
        <w:t xml:space="preserve"> 对评为优秀和不及格及有争议的毕业论文，学院（系）毕业论文（设计）工作领导小组要组织复议，将复议结果填写在学生的毕业论文（设计）本上，并将复议意见以纪要形式上报教务处。</w:t>
      </w:r>
    </w:p>
    <w:p>
      <w:pPr>
        <w:spacing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第三十三条</w:t>
      </w:r>
      <w:r>
        <w:rPr>
          <w:rFonts w:hint="eastAsia" w:ascii="楷体_GB2312" w:hAnsi="楷体" w:eastAsia="楷体_GB2312"/>
          <w:sz w:val="32"/>
          <w:szCs w:val="32"/>
        </w:rPr>
        <w:t xml:space="preserve">  学校将组织校级优秀毕业论文(设计)评选活动。经个人申请、指导教师推荐、学院（系）审核，按毕业学生人数2％的比例分专业向学校推荐优秀毕业论文(设计)；学校将组织专家评审，评选出校级优秀毕业论文(设计)，并给予一定的奖励。各学院（系）将优秀论文(设计)统一汇总后，将光盘与打印稿交教务处实践科，校级优秀毕业论文(设计)将编印成册。</w:t>
      </w:r>
    </w:p>
    <w:p>
      <w:pPr>
        <w:spacing w:line="560" w:lineRule="exact"/>
        <w:ind w:firstLine="587" w:firstLineChars="200"/>
        <w:rPr>
          <w:rFonts w:hint="eastAsia" w:ascii="楷体_GB2312" w:hAnsi="楷体" w:eastAsia="楷体_GB2312"/>
          <w:sz w:val="32"/>
          <w:szCs w:val="32"/>
        </w:rPr>
      </w:pPr>
      <w:r>
        <w:rPr>
          <w:rFonts w:hint="eastAsia" w:ascii="楷体_GB2312" w:hAnsi="楷体" w:eastAsia="楷体_GB2312"/>
          <w:b/>
          <w:bCs/>
          <w:spacing w:val="-14"/>
          <w:sz w:val="32"/>
          <w:szCs w:val="32"/>
        </w:rPr>
        <w:t xml:space="preserve">第三十四条  </w:t>
      </w:r>
      <w:r>
        <w:rPr>
          <w:rFonts w:hint="eastAsia" w:ascii="楷体_GB2312" w:hAnsi="楷体" w:eastAsia="楷体_GB2312"/>
          <w:spacing w:val="-14"/>
          <w:sz w:val="32"/>
          <w:szCs w:val="32"/>
        </w:rPr>
        <w:t>毕业论文(设计)工作结束后，各学院（系）、各</w:t>
      </w:r>
      <w:r>
        <w:rPr>
          <w:rFonts w:hint="eastAsia" w:ascii="楷体_GB2312" w:hAnsi="楷体" w:eastAsia="楷体_GB2312"/>
          <w:sz w:val="32"/>
          <w:szCs w:val="32"/>
        </w:rPr>
        <w:t>专业要认真总结，就本单位毕业论文(设计)工作的组织管理、选题指导、能力水平、论文质量、成绩评定、写作规范、论文答辩等几个方面写出总结材料，并报教务处。教务处将按10%的比例随机抽取毕业论文(设计)，供专家评价使用。</w:t>
      </w:r>
    </w:p>
    <w:p>
      <w:pPr>
        <w:spacing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第三十五条  </w:t>
      </w:r>
      <w:r>
        <w:rPr>
          <w:rFonts w:hint="eastAsia" w:ascii="楷体_GB2312" w:hAnsi="楷体" w:eastAsia="楷体_GB2312"/>
          <w:sz w:val="32"/>
          <w:szCs w:val="32"/>
        </w:rPr>
        <w:t>为了提高学生计算机应用能力，减轻学生经济负担，各院（系）应最大可能地为学生提供计算机方面的条件，保证学生毕业论文（设计）的质量。</w:t>
      </w:r>
    </w:p>
    <w:p>
      <w:pPr>
        <w:spacing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 xml:space="preserve">第三十六条  </w:t>
      </w:r>
      <w:r>
        <w:rPr>
          <w:rFonts w:hint="eastAsia" w:ascii="楷体_GB2312" w:hAnsi="楷体" w:eastAsia="楷体_GB2312"/>
          <w:sz w:val="32"/>
          <w:szCs w:val="32"/>
        </w:rPr>
        <w:t>各院（系）必须将论文封面、开题报告书、论文（设计）评审表、毕业论文（设计）答辩记录表、论文正文等材料全部录入光盘或保留文字材料。</w:t>
      </w:r>
    </w:p>
    <w:p>
      <w:pPr>
        <w:spacing w:line="560" w:lineRule="exact"/>
        <w:ind w:firstLine="643" w:firstLineChars="200"/>
        <w:rPr>
          <w:rFonts w:hint="eastAsia" w:ascii="楷体_GB2312" w:hAnsi="楷体" w:eastAsia="楷体_GB2312"/>
          <w:bCs/>
          <w:sz w:val="32"/>
          <w:szCs w:val="32"/>
        </w:rPr>
      </w:pPr>
      <w:r>
        <w:rPr>
          <w:rFonts w:hint="eastAsia" w:ascii="楷体_GB2312" w:hAnsi="楷体" w:eastAsia="楷体_GB2312"/>
          <w:b/>
          <w:bCs/>
          <w:sz w:val="32"/>
          <w:szCs w:val="32"/>
        </w:rPr>
        <w:t xml:space="preserve">第三十七条  </w:t>
      </w:r>
      <w:r>
        <w:rPr>
          <w:rFonts w:hint="eastAsia" w:ascii="楷体_GB2312" w:hAnsi="楷体" w:eastAsia="楷体_GB2312"/>
          <w:sz w:val="32"/>
          <w:szCs w:val="32"/>
        </w:rPr>
        <w:t>总结与资料整理</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1.毕业论文（设计）答辩结束后，各学院（系）应及时</w:t>
      </w:r>
      <w:r>
        <w:rPr>
          <w:rFonts w:hint="eastAsia" w:ascii="楷体_GB2312" w:hAnsi="楷体" w:eastAsia="楷体_GB2312"/>
          <w:spacing w:val="-6"/>
          <w:sz w:val="32"/>
          <w:szCs w:val="32"/>
        </w:rPr>
        <w:t>总结经验、查找问题、寻找对策，并分专业写出工作总结。工</w:t>
      </w:r>
      <w:r>
        <w:rPr>
          <w:rFonts w:hint="eastAsia" w:ascii="楷体_GB2312" w:hAnsi="楷体" w:eastAsia="楷体_GB2312"/>
          <w:sz w:val="32"/>
          <w:szCs w:val="32"/>
        </w:rPr>
        <w:t>作总结及其电子文档在该学年最后二周内交教务处。</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学生毕业论文（设计）的全部材料(任务书、开题报告、中期检查表、答辩申请及资格审查表、学生定稿文本2本和附件资料及其电子文档等)须及时收集、整理，并以学生为独立汇总单元装入湖南科技学院毕业论文(设计)资料袋，依学号顺序排列，按学院相关的档案管理办法由各院（系）保存。</w:t>
      </w:r>
    </w:p>
    <w:p>
      <w:pPr>
        <w:widowControl/>
        <w:spacing w:line="560" w:lineRule="exact"/>
        <w:ind w:firstLine="640" w:firstLineChars="200"/>
        <w:jc w:val="left"/>
        <w:rPr>
          <w:rFonts w:hint="eastAsia" w:ascii="楷体_GB2312" w:hAnsi="楷体" w:eastAsia="楷体_GB2312" w:cs="宋体"/>
          <w:sz w:val="32"/>
          <w:szCs w:val="32"/>
        </w:rPr>
      </w:pPr>
      <w:r>
        <w:rPr>
          <w:rFonts w:hint="eastAsia" w:ascii="楷体_GB2312" w:hAnsi="楷体" w:eastAsia="楷体_GB2312"/>
          <w:sz w:val="32"/>
          <w:szCs w:val="32"/>
        </w:rPr>
        <w:t>3.</w:t>
      </w:r>
      <w:r>
        <w:rPr>
          <w:rFonts w:hint="eastAsia" w:ascii="楷体_GB2312" w:hAnsi="楷体" w:eastAsia="楷体_GB2312" w:cs="宋体"/>
          <w:sz w:val="32"/>
          <w:szCs w:val="32"/>
        </w:rPr>
        <w:t>各</w:t>
      </w:r>
      <w:r>
        <w:rPr>
          <w:rFonts w:hint="eastAsia" w:ascii="楷体_GB2312" w:hAnsi="楷体" w:eastAsia="楷体_GB2312"/>
          <w:sz w:val="32"/>
          <w:szCs w:val="32"/>
        </w:rPr>
        <w:t>院（系）</w:t>
      </w:r>
      <w:r>
        <w:rPr>
          <w:rFonts w:hint="eastAsia" w:ascii="楷体_GB2312" w:hAnsi="楷体" w:eastAsia="楷体_GB2312" w:cs="宋体"/>
          <w:sz w:val="32"/>
          <w:szCs w:val="32"/>
        </w:rPr>
        <w:t>以系（部）为单元集中保存下列资料：</w:t>
      </w:r>
      <w:r>
        <w:rPr>
          <w:rFonts w:hint="eastAsia" w:ascii="楷体_GB2312" w:hAnsi="楷体" w:eastAsia="楷体_GB2312"/>
          <w:sz w:val="32"/>
          <w:szCs w:val="32"/>
        </w:rPr>
        <w:t>院（系）</w:t>
      </w:r>
      <w:r>
        <w:rPr>
          <w:rFonts w:hint="eastAsia" w:ascii="楷体_GB2312" w:hAnsi="楷体" w:eastAsia="楷体_GB2312" w:cs="宋体"/>
          <w:sz w:val="32"/>
          <w:szCs w:val="32"/>
        </w:rPr>
        <w:t>领导小组对于毕业论文（设计）各工作环节所作安排的所有文件；选题审查表；外聘指导教师资格审查表；毕业论文（设计）工作总结；情况汇总表；优秀毕业论文（设计）推荐表等。</w:t>
      </w:r>
    </w:p>
    <w:p>
      <w:pPr>
        <w:spacing w:before="468" w:beforeLines="150" w:after="156" w:afterLines="50" w:line="560" w:lineRule="exact"/>
        <w:ind w:firstLine="643" w:firstLineChars="200"/>
        <w:jc w:val="center"/>
        <w:rPr>
          <w:rFonts w:hint="eastAsia" w:ascii="楷体_GB2312" w:hAnsi="楷体" w:eastAsia="楷体_GB2312"/>
          <w:b/>
          <w:bCs/>
          <w:sz w:val="32"/>
          <w:szCs w:val="32"/>
        </w:rPr>
      </w:pPr>
      <w:r>
        <w:rPr>
          <w:rFonts w:hint="eastAsia" w:ascii="楷体_GB2312" w:hAnsi="楷体" w:eastAsia="楷体_GB2312"/>
          <w:b/>
          <w:bCs/>
          <w:sz w:val="32"/>
          <w:szCs w:val="32"/>
        </w:rPr>
        <w:t>第六章  附  则</w:t>
      </w:r>
    </w:p>
    <w:p>
      <w:pPr>
        <w:spacing w:before="62" w:beforeLines="20" w:line="560" w:lineRule="exact"/>
        <w:ind w:firstLine="643" w:firstLineChars="200"/>
        <w:rPr>
          <w:rFonts w:hint="eastAsia" w:ascii="楷体_GB2312" w:hAnsi="楷体" w:eastAsia="楷体_GB2312"/>
          <w:sz w:val="32"/>
          <w:szCs w:val="32"/>
        </w:rPr>
      </w:pPr>
      <w:r>
        <w:rPr>
          <w:rFonts w:hint="eastAsia" w:ascii="楷体_GB2312" w:hAnsi="楷体" w:eastAsia="楷体_GB2312"/>
          <w:b/>
          <w:bCs/>
          <w:sz w:val="32"/>
          <w:szCs w:val="32"/>
        </w:rPr>
        <w:t>第三十八条</w:t>
      </w:r>
      <w:r>
        <w:rPr>
          <w:rFonts w:hint="eastAsia" w:ascii="楷体_GB2312" w:hAnsi="楷体" w:eastAsia="楷体_GB2312"/>
          <w:sz w:val="32"/>
          <w:szCs w:val="32"/>
        </w:rPr>
        <w:t xml:space="preserve">  </w:t>
      </w:r>
      <w:r>
        <w:rPr>
          <w:rFonts w:hint="eastAsia" w:ascii="楷体_GB2312" w:eastAsia="楷体_GB2312"/>
          <w:snapToGrid/>
          <w:kern w:val="2"/>
          <w:sz w:val="32"/>
          <w:szCs w:val="32"/>
        </w:rPr>
        <w:t>本条例自颁布之日起执行，以前文件与本条例不一致的以本条例为准，由教务处负责解释。</w:t>
      </w:r>
    </w:p>
    <w:p>
      <w:pPr>
        <w:spacing w:before="93" w:beforeLines="30" w:line="560" w:lineRule="exact"/>
        <w:rPr>
          <w:rFonts w:hint="eastAsia" w:ascii="楷体_GB2312" w:hAnsi="楷体" w:eastAsia="楷体_GB2312"/>
          <w:sz w:val="32"/>
          <w:szCs w:val="32"/>
        </w:rPr>
      </w:pPr>
    </w:p>
    <w:p>
      <w:pPr>
        <w:spacing w:before="93" w:beforeLines="3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附件：</w:t>
      </w:r>
    </w:p>
    <w:p>
      <w:pPr>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1.湖南科技学院本科生毕业论文（设计）撰写规范</w:t>
      </w:r>
    </w:p>
    <w:p>
      <w:pPr>
        <w:spacing w:before="93" w:beforeLines="3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2.湖南科技学院毕业论文（设计）管理工作评估指标及等级标准</w:t>
      </w:r>
    </w:p>
    <w:p>
      <w:pPr>
        <w:spacing w:before="93" w:beforeLines="3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3.湖南科技学院毕业论文（设计）质量评价表</w:t>
      </w:r>
    </w:p>
    <w:p>
      <w:pPr>
        <w:spacing w:before="93" w:beforeLines="30"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4.湖南科技学院毕业论文(设计)抽查评审分析表</w:t>
      </w:r>
    </w:p>
    <w:p>
      <w:pPr>
        <w:spacing w:before="93" w:beforeLines="30" w:line="560" w:lineRule="exact"/>
        <w:ind w:firstLine="640" w:firstLineChars="200"/>
        <w:rPr>
          <w:rFonts w:hint="eastAsia" w:ascii="仿宋_GB2312" w:hAnsi="楷体" w:eastAsia="仿宋_GB2312"/>
          <w:sz w:val="32"/>
          <w:szCs w:val="32"/>
        </w:rPr>
      </w:pPr>
    </w:p>
    <w:p>
      <w:pPr>
        <w:spacing w:line="550" w:lineRule="exact"/>
        <w:ind w:firstLine="4800" w:firstLineChars="1500"/>
        <w:rPr>
          <w:rFonts w:hint="eastAsia" w:ascii="楷体_GB2312" w:eastAsia="楷体_GB2312"/>
          <w:sz w:val="32"/>
          <w:szCs w:val="32"/>
        </w:rPr>
      </w:pPr>
      <w:r>
        <w:rPr>
          <w:rFonts w:hint="eastAsia" w:ascii="楷体_GB2312" w:eastAsia="楷体_GB2312"/>
          <w:sz w:val="32"/>
          <w:szCs w:val="32"/>
        </w:rPr>
        <w:t xml:space="preserve">湖南科技学院教务处  </w:t>
      </w:r>
    </w:p>
    <w:p>
      <w:pPr>
        <w:tabs>
          <w:tab w:val="left" w:pos="520"/>
        </w:tabs>
        <w:spacing w:line="550" w:lineRule="exact"/>
        <w:ind w:firstLine="5120" w:firstLineChars="1600"/>
        <w:rPr>
          <w:rFonts w:hint="eastAsia" w:ascii="楷体_GB2312" w:eastAsia="楷体_GB2312"/>
          <w:sz w:val="32"/>
          <w:szCs w:val="32"/>
        </w:rPr>
      </w:pPr>
      <w:r>
        <w:rPr>
          <w:rFonts w:hint="eastAsia" w:ascii="楷体_GB2312" w:eastAsia="楷体_GB2312"/>
          <w:sz w:val="32"/>
          <w:szCs w:val="32"/>
        </w:rPr>
        <w:t>2018年9月21日</w:t>
      </w:r>
    </w:p>
    <w:p>
      <w:pPr>
        <w:spacing w:before="93" w:beforeLines="30" w:line="560" w:lineRule="exact"/>
        <w:ind w:firstLine="640" w:firstLineChars="200"/>
        <w:rPr>
          <w:rFonts w:hint="eastAsia" w:ascii="仿宋_GB2312" w:hAnsi="楷体" w:eastAsia="仿宋_GB2312"/>
          <w:sz w:val="32"/>
          <w:szCs w:val="32"/>
        </w:rPr>
      </w:pPr>
    </w:p>
    <w:p>
      <w:pPr>
        <w:spacing w:before="93" w:beforeLines="30" w:line="560" w:lineRule="exact"/>
        <w:ind w:firstLine="640" w:firstLineChars="200"/>
        <w:rPr>
          <w:rFonts w:hint="eastAsia" w:ascii="仿宋_GB2312" w:hAnsi="楷体" w:eastAsia="仿宋_GB2312"/>
          <w:sz w:val="32"/>
          <w:szCs w:val="32"/>
        </w:rPr>
      </w:pPr>
    </w:p>
    <w:p>
      <w:pPr>
        <w:spacing w:line="380" w:lineRule="exact"/>
        <w:jc w:val="left"/>
        <w:rPr>
          <w:rFonts w:hint="eastAsia" w:ascii="楷体" w:hAnsi="楷体" w:eastAsia="楷体"/>
          <w:sz w:val="24"/>
          <w:szCs w:val="24"/>
        </w:rPr>
      </w:pPr>
      <w:r>
        <w:rPr>
          <w:rFonts w:ascii="仿宋_GB2312" w:hAnsi="楷体" w:eastAsia="仿宋_GB2312"/>
          <w:sz w:val="32"/>
          <w:szCs w:val="32"/>
        </w:rPr>
        <w:br w:type="page"/>
      </w:r>
      <w:r>
        <w:rPr>
          <w:rFonts w:hint="eastAsia" w:ascii="楷体" w:hAnsi="楷体" w:eastAsia="楷体"/>
          <w:sz w:val="24"/>
          <w:szCs w:val="24"/>
        </w:rPr>
        <w:t>附件1：</w:t>
      </w:r>
    </w:p>
    <w:p>
      <w:pPr>
        <w:spacing w:line="500" w:lineRule="exact"/>
        <w:jc w:val="center"/>
        <w:rPr>
          <w:rFonts w:hint="eastAsia" w:ascii="楷体" w:hAnsi="楷体" w:eastAsia="楷体"/>
          <w:snapToGrid/>
          <w:kern w:val="2"/>
          <w:sz w:val="36"/>
          <w:szCs w:val="28"/>
        </w:rPr>
      </w:pPr>
    </w:p>
    <w:p>
      <w:pPr>
        <w:spacing w:line="500" w:lineRule="exact"/>
        <w:jc w:val="center"/>
        <w:rPr>
          <w:rFonts w:hint="eastAsia" w:ascii="楷体" w:hAnsi="楷体" w:eastAsia="楷体"/>
          <w:snapToGrid/>
          <w:kern w:val="2"/>
          <w:sz w:val="36"/>
          <w:szCs w:val="28"/>
        </w:rPr>
      </w:pPr>
      <w:r>
        <w:rPr>
          <w:rFonts w:hint="eastAsia" w:ascii="楷体" w:hAnsi="楷体" w:eastAsia="楷体"/>
          <w:snapToGrid/>
          <w:kern w:val="2"/>
          <w:sz w:val="36"/>
          <w:szCs w:val="28"/>
        </w:rPr>
        <w:t>湖南科技学院本科生毕业论文（设计）撰写规范</w:t>
      </w:r>
    </w:p>
    <w:p>
      <w:pPr>
        <w:spacing w:line="500" w:lineRule="exact"/>
        <w:jc w:val="center"/>
        <w:rPr>
          <w:rFonts w:hint="eastAsia" w:ascii="楷体" w:hAnsi="楷体" w:eastAsia="楷体"/>
          <w:snapToGrid/>
          <w:kern w:val="2"/>
          <w:szCs w:val="28"/>
        </w:rPr>
      </w:pP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撰写毕业论文（设计）是培养学生综合运用本学科的基本知识和基本技能，分析、解决实际问题和某些理论问题，培养学生科学研究、创新意识、创新能力，提高学生素质的重要途径，是高校教学的重要实践环节。为了统一和规范我校本科生毕业论文（设计）的写作，保证我校本科生毕业论文（设计）的质量，特制定《湖南科技学院本科毕业论文（设计）撰写规范》。</w:t>
      </w:r>
    </w:p>
    <w:p>
      <w:pPr>
        <w:spacing w:line="560" w:lineRule="exact"/>
        <w:ind w:firstLine="420"/>
        <w:rPr>
          <w:rFonts w:hint="eastAsia" w:ascii="仿宋_GB2312" w:hAnsi="楷体" w:eastAsia="仿宋_GB2312"/>
          <w:snapToGrid/>
          <w:kern w:val="2"/>
          <w:sz w:val="32"/>
          <w:szCs w:val="32"/>
        </w:rPr>
      </w:pP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一、论文文本构成</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毕业论文（设计）包括前置部分、主体部分、附录部分。具体构成及顺序如下：</w:t>
      </w:r>
    </w:p>
    <w:p>
      <w:pPr>
        <w:spacing w:line="560" w:lineRule="exact"/>
        <w:ind w:firstLine="420"/>
        <w:rPr>
          <w:rFonts w:hint="eastAsia" w:ascii="仿宋_GB2312" w:hAnsi="楷体" w:eastAsia="仿宋_GB2312"/>
          <w:snapToGrid/>
          <w:kern w:val="2"/>
          <w:sz w:val="32"/>
          <w:szCs w:val="32"/>
        </w:rPr>
      </w:pPr>
    </w:p>
    <w:p>
      <w:pPr>
        <w:spacing w:line="560" w:lineRule="exact"/>
        <w:ind w:firstLine="420"/>
        <w:rPr>
          <w:rFonts w:hint="eastAsia" w:ascii="仿宋_GB2312" w:hAnsi="楷体" w:eastAsia="仿宋_GB2312"/>
          <w:snapToGrid/>
          <w:kern w:val="2"/>
          <w:sz w:val="32"/>
          <w:szCs w:val="32"/>
        </w:rPr>
      </w:pPr>
    </w:p>
    <w:p>
      <w:pPr>
        <w:spacing w:line="400" w:lineRule="exact"/>
        <w:ind w:firstLine="420"/>
        <w:rPr>
          <w:rFonts w:hint="eastAsia" w:ascii="仿宋_GB2312" w:hAnsi="楷体" w:eastAsia="仿宋_GB2312"/>
          <w:snapToGrid/>
          <w:kern w:val="2"/>
          <w:sz w:val="32"/>
          <w:szCs w:val="32"/>
        </w:rPr>
      </w:pPr>
      <w:r>
        <w:rPr>
          <w:rFonts w:ascii="仿宋_GB2312" w:hAnsi="楷体" w:eastAsia="仿宋_GB2312"/>
          <w:snapToGrid/>
          <w:kern w:val="2"/>
          <w:sz w:val="32"/>
          <w:szCs w:val="3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88900</wp:posOffset>
                </wp:positionV>
                <wp:extent cx="114300" cy="1684020"/>
                <wp:effectExtent l="4445" t="4445" r="14605" b="6985"/>
                <wp:wrapNone/>
                <wp:docPr id="2" name="左大括号 2"/>
                <wp:cNvGraphicFramePr/>
                <a:graphic xmlns:a="http://schemas.openxmlformats.org/drawingml/2006/main">
                  <a:graphicData uri="http://schemas.microsoft.com/office/word/2010/wordprocessingShape">
                    <wps:wsp>
                      <wps:cNvSpPr/>
                      <wps:spPr>
                        <a:xfrm>
                          <a:off x="0" y="0"/>
                          <a:ext cx="114300" cy="1684020"/>
                        </a:xfrm>
                        <a:prstGeom prst="leftBrace">
                          <a:avLst>
                            <a:gd name="adj1" fmla="val 122777"/>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72pt;margin-top:7pt;height:132.6pt;width:9pt;z-index:251659264;mso-width-relative:page;mso-height-relative:page;" filled="f" stroked="t" coordsize="21600,21600" o:gfxdata="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2PEL1wAAAAoBAAAPAAAAAAAAAAEAIAAAACIAAABk&#10;cnMvZG93bnJldi54bWxQSwECFAAUAAAACACHTuJAGhHPswcCAAD6AwAADgAAAAAAAAABACAAAAAm&#10;AQAAZHJzL2Uyb0RvYy54bWxQSwUGAAAAAAYABgBZAQAAnwUAAAAA&#10;" adj="1799,10800">
                <v:fill on="f" focussize="0,0"/>
                <v:stroke color="#000000" joinstyle="round"/>
                <v:imagedata o:title=""/>
                <o:lock v:ext="edit" aspectratio="f"/>
              </v:shape>
            </w:pict>
          </mc:Fallback>
        </mc:AlternateContent>
      </w:r>
      <w:r>
        <w:rPr>
          <w:rFonts w:hint="eastAsia" w:ascii="仿宋_GB2312" w:hAnsi="楷体" w:eastAsia="仿宋_GB2312"/>
          <w:snapToGrid/>
          <w:kern w:val="2"/>
          <w:sz w:val="32"/>
          <w:szCs w:val="32"/>
        </w:rPr>
        <w:t xml:space="preserve">            封面</w:t>
      </w:r>
    </w:p>
    <w:p>
      <w:pPr>
        <w:spacing w:line="400" w:lineRule="exact"/>
        <w:ind w:firstLine="42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毕业论文（设计）诚信声明（签名必须手写）</w:t>
      </w:r>
    </w:p>
    <w:p>
      <w:pPr>
        <w:spacing w:line="400" w:lineRule="exact"/>
        <w:ind w:firstLine="42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毕业论文（设计）任务书 </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前置部分       毕业论文（设计）开题报告书</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毕业论文（设计）中期检查表</w:t>
      </w:r>
    </w:p>
    <w:p>
      <w:pPr>
        <w:spacing w:line="400" w:lineRule="exact"/>
        <w:ind w:firstLine="42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毕业论文（设计）评审表</w:t>
      </w:r>
    </w:p>
    <w:p>
      <w:pPr>
        <w:spacing w:line="400" w:lineRule="exact"/>
        <w:ind w:firstLine="1280" w:firstLineChars="4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毕业论文（设计）答辩记录表</w:t>
      </w:r>
    </w:p>
    <w:p>
      <w:pPr>
        <w:spacing w:line="360" w:lineRule="exact"/>
        <w:ind w:firstLine="1280" w:firstLineChars="4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w:t>
      </w:r>
    </w:p>
    <w:p>
      <w:pPr>
        <w:spacing w:line="360" w:lineRule="exact"/>
        <w:ind w:firstLine="420"/>
        <w:rPr>
          <w:rFonts w:hint="eastAsia" w:ascii="楷体" w:hAnsi="楷体" w:eastAsia="楷体"/>
          <w:snapToGrid/>
          <w:kern w:val="2"/>
          <w:sz w:val="21"/>
          <w:szCs w:val="21"/>
        </w:rPr>
      </w:pPr>
      <w:r>
        <w:rPr>
          <w:rFonts w:hint="eastAsia" w:ascii="楷体" w:hAnsi="楷体" w:eastAsia="楷体"/>
          <w:snapToGrid/>
          <w:kern w:val="2"/>
          <w:sz w:val="21"/>
          <w:szCs w:val="21"/>
        </w:rPr>
        <w:t xml:space="preserve">           </w:t>
      </w:r>
    </w:p>
    <w:p>
      <w:pPr>
        <w:spacing w:line="360" w:lineRule="exact"/>
        <w:ind w:firstLine="420"/>
        <w:rPr>
          <w:rFonts w:hint="eastAsia" w:ascii="楷体" w:hAnsi="楷体" w:eastAsia="楷体"/>
          <w:snapToGrid/>
          <w:kern w:val="2"/>
          <w:sz w:val="21"/>
          <w:szCs w:val="21"/>
        </w:rPr>
      </w:pPr>
    </w:p>
    <w:p>
      <w:pPr>
        <w:spacing w:line="360" w:lineRule="exact"/>
        <w:ind w:firstLine="420"/>
        <w:rPr>
          <w:rFonts w:hint="eastAsia" w:ascii="楷体" w:hAnsi="楷体" w:eastAsia="楷体"/>
          <w:snapToGrid/>
          <w:kern w:val="2"/>
          <w:sz w:val="21"/>
          <w:szCs w:val="21"/>
        </w:rPr>
      </w:pPr>
    </w:p>
    <w:p>
      <w:pPr>
        <w:spacing w:line="360" w:lineRule="exact"/>
        <w:rPr>
          <w:rFonts w:hint="eastAsia" w:ascii="楷体" w:hAnsi="楷体" w:eastAsia="楷体"/>
          <w:snapToGrid/>
          <w:kern w:val="2"/>
          <w:sz w:val="21"/>
          <w:szCs w:val="21"/>
        </w:rPr>
      </w:pPr>
      <w:r>
        <w:rPr>
          <w:rFonts w:hint="eastAsia" w:ascii="楷体" w:hAnsi="楷体" w:eastAsia="楷体"/>
          <w:snapToGrid/>
          <w:kern w:val="2"/>
          <w:sz w:val="21"/>
          <w:szCs w:val="21"/>
        </w:rPr>
        <w:t xml:space="preserve">  </w:t>
      </w:r>
    </w:p>
    <w:p>
      <w:pPr>
        <w:spacing w:line="400" w:lineRule="exact"/>
        <w:rPr>
          <w:rFonts w:hint="eastAsia" w:ascii="仿宋_GB2312" w:hAnsi="楷体" w:eastAsia="仿宋_GB2312"/>
          <w:snapToGrid/>
          <w:kern w:val="2"/>
          <w:sz w:val="32"/>
          <w:szCs w:val="32"/>
        </w:rPr>
      </w:pPr>
      <w:r>
        <w:rPr>
          <w:rFonts w:ascii="楷体" w:hAnsi="楷体" w:eastAsia="楷体"/>
          <w:snapToGrid/>
          <w:kern w:val="2"/>
          <w:sz w:val="20"/>
          <w:szCs w:val="20"/>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111760</wp:posOffset>
                </wp:positionV>
                <wp:extent cx="114300" cy="3374390"/>
                <wp:effectExtent l="4445" t="4445" r="14605" b="12065"/>
                <wp:wrapNone/>
                <wp:docPr id="1" name="左大括号 1"/>
                <wp:cNvGraphicFramePr/>
                <a:graphic xmlns:a="http://schemas.openxmlformats.org/drawingml/2006/main">
                  <a:graphicData uri="http://schemas.microsoft.com/office/word/2010/wordprocessingShape">
                    <wps:wsp>
                      <wps:cNvSpPr/>
                      <wps:spPr>
                        <a:xfrm>
                          <a:off x="0" y="0"/>
                          <a:ext cx="114300" cy="3374390"/>
                        </a:xfrm>
                        <a:prstGeom prst="leftBrace">
                          <a:avLst>
                            <a:gd name="adj1" fmla="val 246018"/>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72pt;margin-top:8.8pt;height:265.7pt;width:9pt;z-index:251660288;mso-width-relative:page;mso-height-relative:page;" filled="f" stroked="t" coordsize="21600,21600" o:gfxdata="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ByomNoAAAAKAQAADwAAAAAAAAABACAAAAAiAAAA&#10;ZHJzL2Rvd25yZXYueG1sUEsBAhQAFAAAAAgAh07iQCKn7bgFAgAA+gMAAA4AAAAAAAAAAQAgAAAA&#10;KQEAAGRycy9lMm9Eb2MueG1sUEsFBgAAAAAGAAYAWQEAAKAFAAAAAA==&#10;" adj="1799,10800">
                <v:fill on="f" focussize="0,0"/>
                <v:stroke color="#000000" joinstyle="round"/>
                <v:imagedata o:title=""/>
                <o:lock v:ext="edit" aspectratio="f"/>
              </v:shape>
            </w:pict>
          </mc:Fallback>
        </mc:AlternateContent>
      </w:r>
      <w:r>
        <w:rPr>
          <w:rFonts w:hint="eastAsia" w:ascii="楷体" w:hAnsi="楷体" w:eastAsia="楷体"/>
          <w:snapToGrid/>
          <w:kern w:val="2"/>
          <w:sz w:val="21"/>
          <w:szCs w:val="21"/>
        </w:rPr>
        <w:t xml:space="preserve">   </w:t>
      </w:r>
      <w:r>
        <w:rPr>
          <w:rFonts w:hint="eastAsia" w:ascii="仿宋_GB2312" w:hAnsi="楷体" w:eastAsia="仿宋_GB2312"/>
          <w:snapToGrid/>
          <w:kern w:val="2"/>
          <w:sz w:val="32"/>
          <w:szCs w:val="32"/>
        </w:rPr>
        <w:t xml:space="preserve">            封面</w:t>
      </w:r>
    </w:p>
    <w:p>
      <w:pPr>
        <w:spacing w:line="400" w:lineRule="exact"/>
        <w:ind w:firstLine="2240" w:firstLineChars="7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目录</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插图索引（必要时）</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附表索引（必要时） </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中文题目</w:t>
      </w:r>
    </w:p>
    <w:p>
      <w:pPr>
        <w:spacing w:line="400" w:lineRule="exact"/>
        <w:ind w:firstLine="2240" w:firstLineChars="7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中文摘要</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主体部分      关键词（中文）</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英文题目</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英文摘要</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关键词（英文）</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正文</w:t>
      </w:r>
    </w:p>
    <w:p>
      <w:pPr>
        <w:spacing w:line="400" w:lineRule="exact"/>
        <w:ind w:firstLine="2240" w:firstLineChars="7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结论                                                             </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参考文献</w:t>
      </w:r>
    </w:p>
    <w:p>
      <w:pPr>
        <w:spacing w:line="40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致谢</w:t>
      </w:r>
    </w:p>
    <w:p>
      <w:pPr>
        <w:ind w:firstLine="422" w:firstLineChars="200"/>
        <w:rPr>
          <w:rFonts w:hint="eastAsia" w:ascii="楷体" w:hAnsi="楷体" w:eastAsia="楷体"/>
          <w:b/>
          <w:bCs/>
          <w:snapToGrid/>
          <w:kern w:val="2"/>
          <w:sz w:val="21"/>
          <w:szCs w:val="21"/>
        </w:rPr>
      </w:pPr>
    </w:p>
    <w:p>
      <w:pPr>
        <w:spacing w:line="560" w:lineRule="exact"/>
        <w:ind w:firstLine="643" w:firstLineChars="200"/>
        <w:rPr>
          <w:rFonts w:hint="eastAsia" w:ascii="仿宋_GB2312" w:hAnsi="楷体" w:eastAsia="仿宋_GB2312"/>
          <w:snapToGrid/>
          <w:kern w:val="2"/>
          <w:sz w:val="32"/>
          <w:szCs w:val="32"/>
        </w:rPr>
      </w:pPr>
      <w:r>
        <w:rPr>
          <w:rFonts w:hint="eastAsia" w:ascii="仿宋_GB2312" w:hAnsi="楷体" w:eastAsia="仿宋_GB2312"/>
          <w:b/>
          <w:bCs/>
          <w:snapToGrid/>
          <w:kern w:val="2"/>
          <w:sz w:val="32"/>
          <w:szCs w:val="32"/>
        </w:rPr>
        <w:t>二、内容要求</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1．论文题目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题目应该简短、明确、有概括性。通过题目，能大致了解论文内容、专业特点和学科范畴。但字数要适当，一般不宜超过20字。必要时可加副标题。</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封面上的毕业论文（设计）题目分别用中英文表述。</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2．摘要与关键词</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1）论文摘要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摘要应概括反映出毕业论文（设计）的内容、方法、成果和结论，语句通顺，文字流畅。摘要中不宜使用公式、图表、不标注引用文献编号。中文摘要以300—500字为宜，英文摘要应与中文摘要一致，文字表达自然流畅，无语言错误。</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2）关键词</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关键词是供检索用的主题词条，应采用能覆盖论文（设计）主要内容的通用词条。关键词一般为3-5个，按词条的外延层次排列，外延大的排在前面。</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3．目录</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目录以文章内容的先后为序，按章、节、条三级标题编写，要求标题层次清晰。目录中的标题要与正文中标题一致，目录中应包括绪论、论文主体、结论、参考文献、附录、致谢等。目录中的页码要与正文中的页码相一致。目录采用自动生成方式，不能手动输入。</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4．正文</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正文是毕业论文（设计）的主体和核心部分，一般应包括绪论、论文（设计）主体及结论等部分。</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1）绪论</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绪论是毕业论文（设计）主体的开端。绪论应对与选题相关的国内外文献进行综述。其主要内容包括：选题的背景及目的；国内外研究状况和相关领域中已有的成果；尚待进一步研究和解决的问题；设计和研究方法等。绪论一般不应少于1200字。</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2）毕业论文（设计）主体</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主体是毕业论文（设计）的主要部分，要求结构合理、层次清楚、重点突出、文字简练、通顺。</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主体的内容应包括以下各方面：</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(1)毕业论文（设计）总体方案设计与选择的论证。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(2)对本研究内容及成果进行较全面、客观的理论阐述，应着重指出本研究内容中的创新、改进与实际应用之处。凡引用、转述、参考他人的成果或资料，均须注明出处。</w:t>
      </w:r>
    </w:p>
    <w:p>
      <w:pPr>
        <w:tabs>
          <w:tab w:val="left" w:pos="714"/>
        </w:tabs>
        <w:spacing w:line="560" w:lineRule="exact"/>
        <w:ind w:firstLine="681" w:firstLineChars="213"/>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(3)自然科学论文应推理正确，结论清晰，无科学性错误。</w:t>
      </w:r>
    </w:p>
    <w:p>
      <w:pPr>
        <w:spacing w:line="560" w:lineRule="exact"/>
        <w:ind w:firstLine="659" w:firstLineChars="206"/>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(4)管理和人文学科的论文应包括对所研究问题的论述及系统分析、比较研究，模型或方案设计，案例论证或实证分析，模型运行的结果分析或建议、改进措施等。</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3）结论 </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结论是毕业论文（设计）的总结，是整篇论文(设计)的归宿。要求精炼、准确地概述全文的主要观点：或自己赞成的观点、或自己反对的观点、或自己的创造性工作与新的见解、或进一步提出需要讨论的问题和建议等。</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5．参考文献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按正文中出现的顺序列出直接引用的主要参考文献。</w:t>
      </w:r>
    </w:p>
    <w:p>
      <w:pPr>
        <w:spacing w:line="560" w:lineRule="exact"/>
        <w:ind w:firstLine="640" w:firstLineChars="200"/>
        <w:rPr>
          <w:rFonts w:hint="eastAsia" w:ascii="仿宋_GB2312" w:hAnsi="楷体" w:eastAsia="仿宋_GB2312"/>
          <w:snapToGrid/>
          <w:color w:val="FF0000"/>
          <w:kern w:val="2"/>
          <w:sz w:val="32"/>
          <w:szCs w:val="32"/>
        </w:rPr>
      </w:pPr>
      <w:r>
        <w:rPr>
          <w:rFonts w:hint="eastAsia" w:ascii="仿宋_GB2312" w:hAnsi="楷体" w:eastAsia="仿宋_GB2312"/>
          <w:snapToGrid/>
          <w:kern w:val="2"/>
          <w:sz w:val="32"/>
          <w:szCs w:val="32"/>
        </w:rPr>
        <w:t>毕业论文（设计）的撰写应本着严谨求实的科学态度，凡有引用他人成果之处，均应按引文出现的先后顺序列于参考文献中。即列出正文中以标注形式引用或参考的有关著作和论文。一篇论著在论文中多处引用时，在参考文献中应将序号归并到一起集中列出。除特殊专业的毕业论文（设计）外，原则上均应有1篇以上的外文参考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6．附录</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对于一些不宜放入正文中、但作为毕业论文（设计）又是不可缺少的部分，或有重要参考价值的内容，可编入毕业论文（设计）的附录中。例如，过长的公式推导、重复性的数据、图表、程序全文及其说明等。</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7．致谢</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致谢中主要感谢导师和对论文工作有直接贡献及帮助的人士和单位。</w:t>
      </w:r>
    </w:p>
    <w:p>
      <w:pPr>
        <w:spacing w:line="560" w:lineRule="exact"/>
        <w:ind w:firstLine="420"/>
        <w:jc w:val="center"/>
        <w:rPr>
          <w:rFonts w:hint="eastAsia" w:ascii="仿宋_GB2312" w:hAnsi="楷体" w:eastAsia="仿宋_GB2312"/>
          <w:snapToGrid/>
          <w:kern w:val="2"/>
          <w:sz w:val="32"/>
          <w:szCs w:val="32"/>
        </w:rPr>
      </w:pPr>
    </w:p>
    <w:p>
      <w:pPr>
        <w:spacing w:line="560" w:lineRule="exact"/>
        <w:ind w:firstLine="643" w:firstLineChars="200"/>
        <w:rPr>
          <w:rFonts w:hint="eastAsia" w:ascii="仿宋_GB2312" w:hAnsi="楷体" w:eastAsia="仿宋_GB2312"/>
          <w:b/>
          <w:bCs/>
          <w:snapToGrid/>
          <w:kern w:val="2"/>
          <w:sz w:val="32"/>
          <w:szCs w:val="32"/>
        </w:rPr>
      </w:pPr>
      <w:r>
        <w:rPr>
          <w:rFonts w:hint="eastAsia" w:ascii="仿宋_GB2312" w:hAnsi="楷体" w:eastAsia="仿宋_GB2312"/>
          <w:b/>
          <w:bCs/>
          <w:snapToGrid/>
          <w:kern w:val="2"/>
          <w:sz w:val="32"/>
          <w:szCs w:val="32"/>
        </w:rPr>
        <w:t>三、书写规范与打印要求</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1．文字和字数</w:t>
      </w:r>
    </w:p>
    <w:p>
      <w:pPr>
        <w:spacing w:line="560" w:lineRule="exact"/>
        <w:ind w:firstLine="640" w:firstLineChars="200"/>
        <w:rPr>
          <w:rFonts w:hint="eastAsia" w:ascii="仿宋_GB2312" w:hAnsi="楷体" w:eastAsia="仿宋_GB2312"/>
          <w:snapToGrid/>
          <w:color w:val="FF0000"/>
          <w:kern w:val="2"/>
          <w:sz w:val="32"/>
          <w:szCs w:val="32"/>
        </w:rPr>
      </w:pPr>
      <w:r>
        <w:rPr>
          <w:rFonts w:hint="eastAsia" w:ascii="仿宋_GB2312" w:hAnsi="楷体" w:eastAsia="仿宋_GB2312"/>
          <w:snapToGrid/>
          <w:kern w:val="2"/>
          <w:sz w:val="32"/>
          <w:szCs w:val="32"/>
        </w:rPr>
        <w:t>除外语专业外，一般用汉语简化文字书写，字数规定：学生毕业论文（设计）原则上不得少于10000字，各院（系）也可根据专业特点研究决定具体字数要求，其中包括不少于1200字的文献综述。</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2．书写</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论文一律在计算机上输入、编排并打印在A4幅面白纸上，单面打印。</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3．字体和字号</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论文标题：三号黑体居中，单倍行距。</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一级标题： 四号黑体；二级标题：小四号黑体；三级标题：小四号黑体；</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正文：小四宋体；表题、图题：五号黑体，居中；</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图、表中文字：五号宋体；数字和字母：Times New Roman体</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4．封面</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论文封皮一律采用A3白色铜板纸。封面上要求填写的内容一律打印填写。专业名称的表述一定要准确。学科分类号要准确。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5．论文页面设置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1）、页边距</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上边距：2.54cm；下边距：2.54cm；左边距3.17cm；右边距：3.17cm；固定行距20磅。</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2）页码的书写要求</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论文页码从绪论部分开始，至附录，用阿拉伯数字连续编排，页码位于页面底端居中。封面、毕业论文（设计）开题报告书；毕业论文（设计）评审表、毕业论文（设计）答辩记录表和目录不编入论文页码；目录用罗马数字单独编页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6．摘要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中、英文摘要不能过于简略，摘要必须是对全文内容的高度概括。英文的内容及关键词应与中文摘要一致，并要符合英语语法，语句通顺，文字流畅，作者姓名和指导教师姓名用汉语拼音写。英文和汉语拼音一律为Times New Roman体，字号与中文摘要相同。固定行距20磅。</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7．论文正文</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论文正文中各标题要突出重点、简明扼要。字数一般在15字以内，不得使用标点符号。标题中尽量不采用英文缩写词，对必须采用者，应使用本学科的通用缩写词。</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8．引用文献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引用文献标示方式应全文统一，并采用所在学科领域内通用的方式，用上标的形式置于所引内容最末句的右上角，用五号宋体。所引文献编号用阿拉数字置于方括号中，如：“…成果</w:t>
      </w:r>
      <w:r>
        <w:rPr>
          <w:rFonts w:hint="eastAsia" w:ascii="仿宋_GB2312" w:hAnsi="楷体" w:eastAsia="仿宋_GB2312"/>
          <w:snapToGrid/>
          <w:kern w:val="2"/>
          <w:sz w:val="32"/>
          <w:szCs w:val="32"/>
          <w:vertAlign w:val="superscript"/>
        </w:rPr>
        <w:t>[1]</w:t>
      </w:r>
      <w:r>
        <w:rPr>
          <w:rFonts w:hint="eastAsia" w:ascii="仿宋_GB2312" w:hAnsi="楷体" w:eastAsia="仿宋_GB2312"/>
          <w:snapToGrid/>
          <w:kern w:val="2"/>
          <w:sz w:val="32"/>
          <w:szCs w:val="32"/>
        </w:rPr>
        <w:t>…”。当提及的参考文献为文中直接说明时，其序号应该用小五号宋体与正文排齐，如“由文献[8，P10-14]可知”。不得将引用文献标示置于正文中的各级标题处。</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9．名词术语</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科技名词术语及设备、元件的名称，应采用国家标准或部颁标准中规定的术语或名称。标准中未规定的术语要采用学科通用术语或名称。全文名词术语必须统一。一些特殊名词或新名词应在适当位置加以说明或注解。采用英语缩写词时，除本学科广泛应用的通用缩写词外，文中第一次出现的缩写词应该用括号注明英文全文。</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10．数字</w:t>
      </w:r>
    </w:p>
    <w:p>
      <w:pPr>
        <w:spacing w:line="560" w:lineRule="exact"/>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 xml:space="preserve">    除习惯用中文数字表示的以外，一般均采用阿拉伯数字。年份一概写全数，如2003年不能写成03年。</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11．表格</w:t>
      </w:r>
    </w:p>
    <w:p>
      <w:pPr>
        <w:spacing w:line="560" w:lineRule="exact"/>
        <w:rPr>
          <w:rFonts w:hint="eastAsia" w:ascii="仿宋_GB2312" w:hAnsi="楷体" w:eastAsia="仿宋_GB2312"/>
          <w:snapToGrid/>
          <w:color w:val="FF0000"/>
          <w:kern w:val="2"/>
          <w:sz w:val="32"/>
          <w:szCs w:val="32"/>
        </w:rPr>
      </w:pPr>
      <w:r>
        <w:rPr>
          <w:rFonts w:hint="eastAsia" w:ascii="仿宋_GB2312" w:hAnsi="楷体" w:eastAsia="仿宋_GB2312"/>
          <w:snapToGrid/>
          <w:kern w:val="2"/>
          <w:sz w:val="32"/>
          <w:szCs w:val="32"/>
        </w:rPr>
        <w:t xml:space="preserve">    每个表格应有自己的表序和表题。并应在文中进行说明，例如：“如表1.1”；表头设计应简单明了，尽量不用斜线；表头与表格为一整体，不得拆开排写于两页。</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表中数据应正确无误，书写清楚。数字空缺的格内加“一”字线(占2个数字)，不允许用“〞”或“同上"之类的写法；表内文字一律用五号宋体。</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表中若有附注时，用小五号宋体写在表的下方，句末加标点。仅有一条附注时写成：注：…；有多条附注时，附注各项的序号一律用阿拉伯数字，例如：注1：…。</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12．图</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毕业设计的插图应与文字紧密配合，文图相符，内容正确。选图要力求精练。</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1）制图标准：插图应符合国家标准及专业标准。</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2）图题及图中说明</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每幅插图均应有图题(由图号和图名组成)。图题置于图下，用五号宋体。有图注或其他说明时应置于图题之上，用小五号仿宋体。图名在图号之后空一格排写。引用图应说明出处，在图题右上角加引用文献号。图中若有分图时，分图号用(a)、(b)等置于分图之下。</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图中各部分说明应采用中文(引用的外文图除外)或数字项号，各项文字说明置于图题之上(有分图题者，置于分图题之上)。</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3）插图编排</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插图与其图题为一个整体，不得拆开排写于两页。插图处的该页空白不够排写该图整体时，可将其后文字部分提前排写，将图移至次页最前面。</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4）论文原件中照片图及插图</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毕业论文（设计）原件中的照片图应是直接用数码相机拍照的照片，或是原版照片粘贴，不得采用复印方式。照片可为黑白或彩色，应主题突出、层次分明、清晰整洁、反差适中。照片采用光面相纸，不宜用布纹相纸。</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13．注释</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毕业设计(论文)中有个别名词或情况需要解释时，可加注说明，注释可用页末注(将注文放在加注页稿纸的下端)或篇末注(将全部注文集中在文章末尾)，而不用行中注(夹在正文中的注)。若在同一页中有两个以上的注时，按各注出现的先后，须按序编列注号，注释只限于写在注释符号出现的同页，不得隔页。</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14．参考文献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参考文献的著录均应符合国家有关标准。参考文献的序号左顶格，并用数字加方括号表示，如[1]，[2]，[3]，…，应与正文中的指示序号格式一致。每一参考文献条目的最后均以“· ”结束。各类参考文献条目的编排格式及示例如下。</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1）连续出版物</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[序号]主要责任者．文献题名[J]．刊名，出版年份，卷号(期号)：起止页码．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例如：[1]毛峡，丁玉宽．图像的情感特征分析及其和谐感评价[J]．电子学报，2001，29(12A)：1923-1927．</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 Mao Xia, et a1．Affective Property of Image and Fractal Dimension[J]．Chaos，Solitons&amp;Fractals．U．K．，2003：V15905—910．</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2）专著</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[序号]主要责任者．文献题名[M]．出版地：出版者，出版年：起止页码．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例如：[3]刘国钧，王连成．图书馆史研究[M]．北京：高等教育出版社，1979：15-18，31．</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[4]T·Parsons, The  Social  System,  New  York:：Free  Press,  1961,P36-45.</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3）会议论文集</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[序号]主要责任者．文献题名[A] ．主编．论文集名[C]．出版地：出版者，出版年：起止页码．</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例如：[5]毛 峡．绘画的音乐表现[A]．中国人工智能学会2001年全国学术年会论文集[C]．北京：北京邮电大学出版社，2001：739—740．</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4）学位论文</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[序号]主要责任．文献题名[D]．保存地：保存单位，年份．</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例如：[6]张和生．地质力学系统理论[D]．太原：太原理工大学，1998．</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5）报告</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[序号]主要责任．文献题名[R]．报告地：报告会主办单位，年份．</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例如：[7]冯西桥．核反应堆压力容器的LBB分析[R]．北京：清华大学核能技术设计研究院，1997．</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6）专利文献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[序号]专利所有者．专利题名[P]．专利国别：专利号，发布日期．</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例如：[8] 姜锡洲．一种温热外敷药制备方案[P]．中国专利：881056078，1983-08-12．</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7）国际、国家标准</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[序号]标准代号，标准名称[S]．出版地：出版者，出版年．</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例如：[9]GB／T16159—1996，汉语拼音正词法基本规则[S]．北京：中国标准出版社，1996．</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8）报纸文章</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[序号]主要责任者．文献题名[N]．报纸名，出版日期(版次)．</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例如：[10]毛峡．情感工学破解‘舒服’之迷[N]．光明日报，2000-4-17(BI)．</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9）电子文献</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[序号]主要责任者．电子文献题名[文献类型／载体类型]．电子文献的出版或可获得地址，发表或更新日期／引用日期(任选)．</w:t>
      </w:r>
    </w:p>
    <w:p>
      <w:pPr>
        <w:spacing w:line="560" w:lineRule="exact"/>
        <w:ind w:firstLine="640" w:firstLineChars="200"/>
        <w:rPr>
          <w:rFonts w:hint="eastAsia" w:ascii="仿宋_GB2312" w:hAnsi="楷体" w:eastAsia="仿宋_GB2312"/>
          <w:snapToGrid/>
          <w:kern w:val="2"/>
          <w:sz w:val="32"/>
          <w:szCs w:val="32"/>
        </w:rPr>
      </w:pPr>
      <w:r>
        <w:rPr>
          <w:rFonts w:hint="eastAsia" w:ascii="仿宋_GB2312" w:hAnsi="楷体" w:eastAsia="仿宋_GB2312"/>
          <w:snapToGrid/>
          <w:kern w:val="2"/>
          <w:sz w:val="32"/>
          <w:szCs w:val="32"/>
        </w:rPr>
        <w:t>例如：[11]王明亮．中国学术期刊标准化数据库系统工程的[EB／OL]．</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楷体" w:eastAsia="仿宋_GB2312"/>
          <w:snapToGrid/>
          <w:kern w:val="2"/>
          <w:sz w:val="32"/>
          <w:szCs w:val="32"/>
        </w:rPr>
        <w:t>http：//www．cajcd．cn/pub/wml．txt/9808 10—2．html，1998-08-16/1998-10-04．</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外国作者的姓名书写格式一般为：名的缩写、姓。例如A．Johnson，R．O．Duda</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引用参考文献类型及其标识说明如下：</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根据GB3469规定，以单字母方式标识以下各种参数文献类型，如下表：</w:t>
      </w:r>
    </w:p>
    <w:p>
      <w:pPr>
        <w:spacing w:line="560" w:lineRule="exact"/>
        <w:ind w:firstLine="640" w:firstLineChars="200"/>
        <w:jc w:val="center"/>
        <w:rPr>
          <w:rFonts w:hint="eastAsia" w:ascii="仿宋_GB2312" w:hAnsi="Times New Roman" w:eastAsia="仿宋_GB2312"/>
          <w:snapToGrid/>
          <w:kern w:val="2"/>
          <w:sz w:val="32"/>
          <w:szCs w:val="32"/>
        </w:rPr>
      </w:pPr>
    </w:p>
    <w:p>
      <w:pPr>
        <w:spacing w:line="560" w:lineRule="exact"/>
        <w:ind w:firstLine="640" w:firstLineChars="200"/>
        <w:jc w:val="center"/>
        <w:rPr>
          <w:rFonts w:hint="eastAsia" w:ascii="仿宋_GB2312" w:hAnsi="Times New Roman" w:eastAsia="仿宋_GB2312"/>
          <w:snapToGrid/>
          <w:kern w:val="2"/>
          <w:sz w:val="32"/>
          <w:szCs w:val="32"/>
        </w:rPr>
      </w:pPr>
    </w:p>
    <w:p>
      <w:pPr>
        <w:spacing w:line="560" w:lineRule="exact"/>
        <w:ind w:firstLine="640" w:firstLineChars="200"/>
        <w:jc w:val="center"/>
        <w:rPr>
          <w:rFonts w:hint="eastAsia" w:ascii="仿宋_GB2312" w:hAnsi="Times New Roman" w:eastAsia="仿宋_GB2312"/>
          <w:snapToGrid/>
          <w:kern w:val="2"/>
          <w:sz w:val="32"/>
          <w:szCs w:val="32"/>
        </w:rPr>
      </w:pPr>
    </w:p>
    <w:p>
      <w:pPr>
        <w:spacing w:line="560" w:lineRule="exact"/>
        <w:ind w:firstLine="640" w:firstLineChars="200"/>
        <w:jc w:val="center"/>
        <w:rPr>
          <w:rFonts w:hint="eastAsia" w:ascii="仿宋_GB2312" w:hAnsi="Times New Roman" w:eastAsia="仿宋_GB2312"/>
          <w:snapToGrid/>
          <w:kern w:val="2"/>
          <w:sz w:val="32"/>
          <w:szCs w:val="32"/>
        </w:rPr>
      </w:pPr>
    </w:p>
    <w:p>
      <w:pPr>
        <w:spacing w:line="560" w:lineRule="exact"/>
        <w:ind w:firstLine="640" w:firstLineChars="200"/>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参数文献的标识</w:t>
      </w:r>
    </w:p>
    <w:tbl>
      <w:tblPr>
        <w:tblStyle w:val="3"/>
        <w:tblW w:w="8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105"/>
        <w:gridCol w:w="1402"/>
        <w:gridCol w:w="1403"/>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69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参考文献类型</w:t>
            </w:r>
          </w:p>
        </w:tc>
        <w:tc>
          <w:tcPr>
            <w:tcW w:w="1105"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专著</w:t>
            </w:r>
          </w:p>
        </w:tc>
        <w:tc>
          <w:tcPr>
            <w:tcW w:w="1402"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论文集</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单篇论文</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报纸文章</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期刊文章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69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文献类型标识</w:t>
            </w:r>
          </w:p>
        </w:tc>
        <w:tc>
          <w:tcPr>
            <w:tcW w:w="1105"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M</w:t>
            </w:r>
          </w:p>
        </w:tc>
        <w:tc>
          <w:tcPr>
            <w:tcW w:w="1402"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C</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A</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N</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69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参考文献类型</w:t>
            </w:r>
          </w:p>
        </w:tc>
        <w:tc>
          <w:tcPr>
            <w:tcW w:w="1105"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学位论文</w:t>
            </w:r>
          </w:p>
        </w:tc>
        <w:tc>
          <w:tcPr>
            <w:tcW w:w="1402"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报告</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标准</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专利</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其它文献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69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文献类型标识</w:t>
            </w:r>
          </w:p>
        </w:tc>
        <w:tc>
          <w:tcPr>
            <w:tcW w:w="1105"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D</w:t>
            </w:r>
          </w:p>
        </w:tc>
        <w:tc>
          <w:tcPr>
            <w:tcW w:w="1402"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R</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S</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P</w:t>
            </w:r>
          </w:p>
        </w:tc>
        <w:tc>
          <w:tcPr>
            <w:tcW w:w="1403"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Z</w:t>
            </w:r>
          </w:p>
        </w:tc>
      </w:tr>
    </w:tbl>
    <w:p>
      <w:pPr>
        <w:spacing w:line="560" w:lineRule="exact"/>
        <w:ind w:firstLine="640" w:firstLineChars="200"/>
        <w:rPr>
          <w:rFonts w:hint="eastAsia" w:ascii="仿宋_GB2312" w:hAnsi="Times New Roman" w:eastAsia="仿宋_GB2312"/>
          <w:snapToGrid/>
          <w:kern w:val="2"/>
          <w:sz w:val="32"/>
          <w:szCs w:val="32"/>
        </w:rPr>
      </w:pPr>
    </w:p>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电子文献的标识</w:t>
      </w:r>
    </w:p>
    <w:tbl>
      <w:tblPr>
        <w:tblStyle w:val="3"/>
        <w:tblW w:w="8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127"/>
        <w:gridCol w:w="2127"/>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参考文献类型</w:t>
            </w:r>
          </w:p>
        </w:tc>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数据库（网上）</w:t>
            </w:r>
          </w:p>
        </w:tc>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计算机程序（磁盘）</w:t>
            </w:r>
          </w:p>
        </w:tc>
        <w:tc>
          <w:tcPr>
            <w:tcW w:w="212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光盘图书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文献类型标识</w:t>
            </w:r>
          </w:p>
        </w:tc>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DB（DB/OL）</w:t>
            </w:r>
          </w:p>
        </w:tc>
        <w:tc>
          <w:tcPr>
            <w:tcW w:w="2127"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CP（CP/DK）</w:t>
            </w:r>
          </w:p>
        </w:tc>
        <w:tc>
          <w:tcPr>
            <w:tcW w:w="2128" w:type="dxa"/>
            <w:noWrap w:val="0"/>
            <w:vAlign w:val="center"/>
          </w:tcPr>
          <w:p>
            <w:pPr>
              <w:spacing w:line="560" w:lineRule="exact"/>
              <w:jc w:val="center"/>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M/CD</w:t>
            </w:r>
          </w:p>
        </w:tc>
      </w:tr>
    </w:tbl>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关于参考文献的未尽事项可参见国家标准《文后参考文献著录规则》》(GB7714—87)。</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15．附录</w:t>
      </w:r>
    </w:p>
    <w:p>
      <w:pPr>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 xml:space="preserve">论文的附录依序用大写正体A，B，C……编序号，如：附录A。附录中的图、表、式等另行编序号，与正文分开，也一律用阿拉伯数字编码，但在数码前冠以附录序码，如：图A1；表B2；式(B3)等， </w:t>
      </w:r>
    </w:p>
    <w:p>
      <w:pPr>
        <w:adjustRightInd w:val="0"/>
        <w:snapToGrid w:val="0"/>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16．论文印刷与装订</w:t>
      </w:r>
    </w:p>
    <w:p>
      <w:pPr>
        <w:adjustRightInd w:val="0"/>
        <w:snapToGrid w:val="0"/>
        <w:spacing w:line="560" w:lineRule="exact"/>
        <w:ind w:firstLine="640" w:firstLineChars="200"/>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毕业</w:t>
      </w:r>
      <w:r>
        <w:rPr>
          <w:rFonts w:hint="eastAsia" w:ascii="仿宋_GB2312" w:eastAsia="仿宋_GB2312"/>
          <w:snapToGrid/>
          <w:kern w:val="2"/>
          <w:sz w:val="32"/>
          <w:szCs w:val="32"/>
        </w:rPr>
        <w:t>论文（设计）</w:t>
      </w:r>
      <w:r>
        <w:rPr>
          <w:rFonts w:hint="eastAsia" w:ascii="仿宋_GB2312" w:hAnsi="Times New Roman" w:eastAsia="仿宋_GB2312"/>
          <w:snapToGrid/>
          <w:kern w:val="2"/>
          <w:sz w:val="32"/>
          <w:szCs w:val="32"/>
        </w:rPr>
        <w:t>按以下排列顺序印刷后从左侧装订。</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 xml:space="preserve">（一）封面； </w:t>
      </w:r>
      <w:r>
        <w:rPr>
          <w:rFonts w:hint="eastAsia" w:ascii="仿宋_GB2312" w:hAnsi="Times New Roman" w:eastAsia="仿宋_GB2312"/>
          <w:snapToGrid/>
          <w:kern w:val="2"/>
          <w:sz w:val="32"/>
          <w:szCs w:val="32"/>
        </w:rPr>
        <w:tab/>
      </w:r>
      <w:r>
        <w:rPr>
          <w:rFonts w:hint="eastAsia" w:ascii="仿宋_GB2312" w:hAnsi="Times New Roman" w:eastAsia="仿宋_GB2312"/>
          <w:snapToGrid/>
          <w:kern w:val="2"/>
          <w:sz w:val="32"/>
          <w:szCs w:val="32"/>
        </w:rPr>
        <w:tab/>
      </w:r>
      <w:r>
        <w:rPr>
          <w:rFonts w:hint="eastAsia" w:ascii="仿宋_GB2312" w:hAnsi="Times New Roman" w:eastAsia="仿宋_GB2312"/>
          <w:snapToGrid/>
          <w:kern w:val="2"/>
          <w:sz w:val="32"/>
          <w:szCs w:val="32"/>
        </w:rPr>
        <w:tab/>
      </w:r>
      <w:r>
        <w:rPr>
          <w:rFonts w:hint="eastAsia" w:ascii="仿宋_GB2312" w:hAnsi="Times New Roman" w:eastAsia="仿宋_GB2312"/>
          <w:snapToGrid/>
          <w:kern w:val="2"/>
          <w:sz w:val="32"/>
          <w:szCs w:val="32"/>
        </w:rPr>
        <w:tab/>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（二）毕业论文（设计）诚信声明；</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（三）毕业论文（设计）任务书</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（四）毕业论文（设计）开题报告书；</w:t>
      </w:r>
    </w:p>
    <w:p>
      <w:pPr>
        <w:adjustRightInd w:val="0"/>
        <w:snapToGrid w:val="0"/>
        <w:spacing w:line="560" w:lineRule="exact"/>
        <w:rPr>
          <w:rFonts w:hint="eastAsia" w:ascii="仿宋_GB2312" w:eastAsia="仿宋_GB2312"/>
          <w:snapToGrid/>
          <w:kern w:val="2"/>
          <w:sz w:val="32"/>
          <w:szCs w:val="32"/>
        </w:rPr>
      </w:pPr>
      <w:r>
        <w:rPr>
          <w:rFonts w:hint="eastAsia" w:ascii="仿宋_GB2312" w:eastAsia="仿宋_GB2312"/>
          <w:snapToGrid/>
          <w:kern w:val="2"/>
          <w:sz w:val="32"/>
          <w:szCs w:val="32"/>
        </w:rPr>
        <w:t>（五）毕业论文（设计）中期检查表；</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（六）毕业论文（设计）评审表；</w:t>
      </w:r>
    </w:p>
    <w:p>
      <w:pPr>
        <w:adjustRightInd w:val="0"/>
        <w:snapToGrid w:val="0"/>
        <w:spacing w:line="560" w:lineRule="exact"/>
        <w:rPr>
          <w:rFonts w:hint="eastAsia" w:ascii="仿宋_GB2312" w:eastAsia="仿宋_GB2312"/>
          <w:snapToGrid/>
          <w:kern w:val="2"/>
          <w:sz w:val="32"/>
          <w:szCs w:val="32"/>
        </w:rPr>
      </w:pPr>
      <w:r>
        <w:rPr>
          <w:rFonts w:hint="eastAsia" w:ascii="仿宋_GB2312" w:hAnsi="Times New Roman" w:eastAsia="仿宋_GB2312"/>
          <w:snapToGrid/>
          <w:kern w:val="2"/>
          <w:sz w:val="32"/>
          <w:szCs w:val="32"/>
        </w:rPr>
        <w:t>（七）</w:t>
      </w:r>
      <w:r>
        <w:rPr>
          <w:rFonts w:hint="eastAsia" w:ascii="仿宋_GB2312" w:eastAsia="仿宋_GB2312"/>
          <w:snapToGrid/>
          <w:kern w:val="2"/>
          <w:sz w:val="32"/>
          <w:szCs w:val="32"/>
        </w:rPr>
        <w:t>毕业论文（设计）答辩记录表；</w:t>
      </w:r>
    </w:p>
    <w:p>
      <w:pPr>
        <w:adjustRightInd w:val="0"/>
        <w:snapToGrid w:val="0"/>
        <w:spacing w:line="560" w:lineRule="exact"/>
        <w:rPr>
          <w:rFonts w:hint="eastAsia" w:ascii="仿宋_GB2312" w:eastAsia="仿宋_GB2312"/>
          <w:snapToGrid/>
          <w:kern w:val="2"/>
          <w:sz w:val="32"/>
          <w:szCs w:val="32"/>
        </w:rPr>
      </w:pPr>
      <w:r>
        <w:rPr>
          <w:rFonts w:hint="eastAsia" w:ascii="仿宋_GB2312" w:eastAsia="仿宋_GB2312"/>
          <w:snapToGrid/>
          <w:kern w:val="2"/>
          <w:sz w:val="32"/>
          <w:szCs w:val="32"/>
        </w:rPr>
        <w:t>（八）</w:t>
      </w:r>
      <w:r>
        <w:rPr>
          <w:rFonts w:hint="eastAsia" w:ascii="仿宋_GB2312" w:hAnsi="Times New Roman" w:eastAsia="仿宋_GB2312"/>
          <w:snapToGrid/>
          <w:kern w:val="2"/>
          <w:sz w:val="32"/>
          <w:szCs w:val="32"/>
        </w:rPr>
        <w:t>封面</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eastAsia="仿宋_GB2312"/>
          <w:snapToGrid/>
          <w:kern w:val="2"/>
          <w:sz w:val="32"/>
          <w:szCs w:val="32"/>
        </w:rPr>
        <w:t>（九）</w:t>
      </w:r>
      <w:r>
        <w:rPr>
          <w:rFonts w:hint="eastAsia" w:ascii="仿宋_GB2312" w:hAnsi="Times New Roman" w:eastAsia="仿宋_GB2312"/>
          <w:snapToGrid/>
          <w:kern w:val="2"/>
          <w:sz w:val="32"/>
          <w:szCs w:val="32"/>
        </w:rPr>
        <w:t>目录；</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（十）插图索引（必要时）；</w:t>
      </w:r>
    </w:p>
    <w:p>
      <w:pPr>
        <w:adjustRightInd w:val="0"/>
        <w:snapToGrid w:val="0"/>
        <w:spacing w:line="560" w:lineRule="exact"/>
        <w:rPr>
          <w:rFonts w:hint="eastAsia" w:ascii="仿宋_GB2312" w:hAnsi="Times New Roman" w:eastAsia="仿宋_GB2312"/>
          <w:snapToGrid/>
          <w:kern w:val="2"/>
          <w:sz w:val="32"/>
          <w:szCs w:val="32"/>
        </w:rPr>
      </w:pPr>
      <w:r>
        <w:rPr>
          <w:rFonts w:hint="eastAsia" w:ascii="仿宋_GB2312" w:hAnsi="Times New Roman" w:eastAsia="仿宋_GB2312"/>
          <w:snapToGrid/>
          <w:kern w:val="2"/>
          <w:sz w:val="32"/>
          <w:szCs w:val="32"/>
        </w:rPr>
        <w:t>（十一）附表索引（必要时）；</w:t>
      </w:r>
    </w:p>
    <w:p>
      <w:pPr>
        <w:adjustRightInd w:val="0"/>
        <w:snapToGrid w:val="0"/>
        <w:spacing w:line="560" w:lineRule="exact"/>
        <w:rPr>
          <w:rFonts w:hint="eastAsia" w:ascii="仿宋_GB2312" w:eastAsia="仿宋_GB2312"/>
          <w:snapToGrid/>
          <w:kern w:val="2"/>
          <w:sz w:val="32"/>
          <w:szCs w:val="32"/>
        </w:rPr>
      </w:pPr>
      <w:r>
        <w:rPr>
          <w:rFonts w:hint="eastAsia" w:ascii="仿宋_GB2312" w:hAnsi="Times New Roman" w:eastAsia="仿宋_GB2312"/>
          <w:snapToGrid/>
          <w:kern w:val="2"/>
          <w:sz w:val="32"/>
          <w:szCs w:val="32"/>
        </w:rPr>
        <w:t>（十二）毕业论文（设计）主体部分（中文题目摘要和关键词、英文题目摘要和关键词、绪论、正文、结论、参考文献、附录、致谢等）。</w:t>
      </w:r>
    </w:p>
    <w:p>
      <w:pPr>
        <w:spacing w:line="560" w:lineRule="exact"/>
        <w:ind w:firstLine="640" w:firstLineChars="200"/>
        <w:jc w:val="left"/>
        <w:rPr>
          <w:rFonts w:hint="eastAsia" w:ascii="仿宋_GB2312" w:hAnsi="新宋体" w:eastAsia="仿宋_GB2312"/>
          <w:sz w:val="32"/>
          <w:szCs w:val="32"/>
        </w:rPr>
      </w:pPr>
    </w:p>
    <w:p>
      <w:pPr>
        <w:spacing w:line="560" w:lineRule="exact"/>
        <w:ind w:firstLine="640" w:firstLineChars="200"/>
        <w:jc w:val="left"/>
        <w:rPr>
          <w:rFonts w:hint="eastAsia" w:ascii="仿宋_GB2312" w:hAnsi="新宋体" w:eastAsia="仿宋_GB2312"/>
          <w:sz w:val="32"/>
          <w:szCs w:val="32"/>
        </w:rPr>
      </w:pPr>
    </w:p>
    <w:p>
      <w:pPr>
        <w:spacing w:line="560" w:lineRule="exact"/>
        <w:rPr>
          <w:rFonts w:hint="eastAsia" w:ascii="仿宋_GB2312" w:hAnsi="新宋体" w:eastAsia="仿宋_GB2312"/>
          <w:bCs/>
          <w:sz w:val="32"/>
          <w:szCs w:val="32"/>
        </w:rPr>
      </w:pPr>
    </w:p>
    <w:p>
      <w:pPr>
        <w:spacing w:line="560" w:lineRule="exact"/>
        <w:jc w:val="left"/>
        <w:rPr>
          <w:rFonts w:hint="eastAsia" w:ascii="仿宋_GB2312" w:hAnsi="新宋体" w:eastAsia="仿宋_GB2312"/>
          <w:bCs/>
          <w:sz w:val="32"/>
          <w:szCs w:val="32"/>
        </w:rPr>
      </w:pPr>
      <w:r>
        <w:rPr>
          <w:rFonts w:ascii="仿宋_GB2312" w:hAnsi="新宋体" w:eastAsia="仿宋_GB2312"/>
          <w:bCs/>
          <w:sz w:val="32"/>
          <w:szCs w:val="32"/>
        </w:rPr>
        <w:br w:type="page"/>
      </w:r>
      <w:r>
        <w:rPr>
          <w:rFonts w:hint="eastAsia" w:ascii="仿宋_GB2312" w:hAnsi="新宋体" w:eastAsia="仿宋_GB2312"/>
          <w:bCs/>
          <w:sz w:val="32"/>
          <w:szCs w:val="32"/>
        </w:rPr>
        <w:t>附件2：</w:t>
      </w:r>
    </w:p>
    <w:p>
      <w:pPr>
        <w:spacing w:line="560" w:lineRule="exact"/>
        <w:jc w:val="center"/>
        <w:rPr>
          <w:rFonts w:hint="eastAsia" w:ascii="仿宋_GB2312" w:hAnsi="新宋体" w:eastAsia="仿宋_GB2312"/>
          <w:bCs/>
          <w:sz w:val="32"/>
          <w:szCs w:val="32"/>
        </w:rPr>
      </w:pPr>
      <w:r>
        <w:rPr>
          <w:rFonts w:hint="eastAsia" w:ascii="仿宋_GB2312" w:hAnsi="新宋体" w:eastAsia="仿宋_GB2312"/>
          <w:bCs/>
          <w:sz w:val="32"/>
          <w:szCs w:val="32"/>
        </w:rPr>
        <w:t>湖南科技学院本科生毕业论文（设计）</w:t>
      </w:r>
    </w:p>
    <w:p>
      <w:pPr>
        <w:spacing w:line="560" w:lineRule="exact"/>
        <w:jc w:val="center"/>
        <w:rPr>
          <w:rFonts w:hint="eastAsia" w:ascii="仿宋_GB2312" w:hAnsi="新宋体" w:eastAsia="仿宋_GB2312"/>
          <w:bCs/>
          <w:sz w:val="32"/>
          <w:szCs w:val="32"/>
        </w:rPr>
      </w:pPr>
      <w:r>
        <w:rPr>
          <w:rFonts w:hint="eastAsia" w:ascii="仿宋_GB2312" w:hAnsi="新宋体" w:eastAsia="仿宋_GB2312"/>
          <w:bCs/>
          <w:sz w:val="32"/>
          <w:szCs w:val="32"/>
        </w:rPr>
        <w:t>管理工作评估指标及等级标准</w:t>
      </w:r>
    </w:p>
    <w:p>
      <w:pPr>
        <w:spacing w:line="560" w:lineRule="exact"/>
        <w:rPr>
          <w:rFonts w:hint="eastAsia" w:ascii="仿宋_GB2312" w:hAnsi="新宋体" w:eastAsia="仿宋_GB2312"/>
          <w:bCs/>
          <w:sz w:val="32"/>
          <w:szCs w:val="32"/>
        </w:rPr>
      </w:pPr>
    </w:p>
    <w:tbl>
      <w:tblPr>
        <w:tblStyle w:val="3"/>
        <w:tblW w:w="88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52"/>
        <w:gridCol w:w="2644"/>
        <w:gridCol w:w="2298"/>
        <w:gridCol w:w="399"/>
        <w:gridCol w:w="400"/>
        <w:gridCol w:w="399"/>
        <w:gridCol w:w="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restart"/>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评估指标</w:t>
            </w:r>
          </w:p>
        </w:tc>
        <w:tc>
          <w:tcPr>
            <w:tcW w:w="1152" w:type="dxa"/>
            <w:vMerge w:val="restart"/>
            <w:noWrap w:val="0"/>
            <w:vAlign w:val="center"/>
          </w:tcPr>
          <w:p>
            <w:pPr>
              <w:spacing w:line="400" w:lineRule="exact"/>
              <w:ind w:left="-105" w:leftChars="-50" w:right="-105" w:rightChars="-50"/>
              <w:jc w:val="center"/>
              <w:rPr>
                <w:rFonts w:hint="eastAsia" w:ascii="仿宋_GB2312" w:hAnsi="新宋体" w:eastAsia="仿宋_GB2312"/>
                <w:b/>
                <w:sz w:val="24"/>
                <w:szCs w:val="24"/>
              </w:rPr>
            </w:pPr>
            <w:r>
              <w:rPr>
                <w:rFonts w:hint="eastAsia" w:ascii="仿宋_GB2312" w:hAnsi="新宋体" w:eastAsia="仿宋_GB2312"/>
                <w:b/>
                <w:sz w:val="24"/>
                <w:szCs w:val="24"/>
              </w:rPr>
              <w:t>主要观测点</w:t>
            </w:r>
          </w:p>
        </w:tc>
        <w:tc>
          <w:tcPr>
            <w:tcW w:w="4942" w:type="dxa"/>
            <w:gridSpan w:val="2"/>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等  级  标  准</w:t>
            </w:r>
          </w:p>
        </w:tc>
        <w:tc>
          <w:tcPr>
            <w:tcW w:w="1598" w:type="dxa"/>
            <w:gridSpan w:val="4"/>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评 估 等 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188" w:type="dxa"/>
            <w:vMerge w:val="continue"/>
            <w:noWrap w:val="0"/>
            <w:vAlign w:val="center"/>
          </w:tcPr>
          <w:p>
            <w:pPr>
              <w:spacing w:line="400" w:lineRule="exact"/>
              <w:jc w:val="center"/>
              <w:rPr>
                <w:rFonts w:hint="eastAsia" w:ascii="仿宋_GB2312" w:hAnsi="新宋体" w:eastAsia="仿宋_GB2312"/>
                <w:sz w:val="24"/>
                <w:szCs w:val="24"/>
              </w:rPr>
            </w:pPr>
          </w:p>
        </w:tc>
        <w:tc>
          <w:tcPr>
            <w:tcW w:w="1152" w:type="dxa"/>
            <w:vMerge w:val="continue"/>
            <w:noWrap w:val="0"/>
            <w:vAlign w:val="center"/>
          </w:tcPr>
          <w:p>
            <w:pPr>
              <w:spacing w:line="400" w:lineRule="exact"/>
              <w:jc w:val="center"/>
              <w:rPr>
                <w:rFonts w:hint="eastAsia" w:ascii="仿宋_GB2312" w:hAnsi="新宋体" w:eastAsia="仿宋_GB2312"/>
                <w:sz w:val="24"/>
                <w:szCs w:val="24"/>
              </w:rPr>
            </w:pPr>
          </w:p>
        </w:tc>
        <w:tc>
          <w:tcPr>
            <w:tcW w:w="2644"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A</w:t>
            </w:r>
          </w:p>
        </w:tc>
        <w:tc>
          <w:tcPr>
            <w:tcW w:w="2298"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C</w:t>
            </w:r>
          </w:p>
        </w:tc>
        <w:tc>
          <w:tcPr>
            <w:tcW w:w="399"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A</w:t>
            </w:r>
          </w:p>
        </w:tc>
        <w:tc>
          <w:tcPr>
            <w:tcW w:w="400"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B</w:t>
            </w:r>
          </w:p>
        </w:tc>
        <w:tc>
          <w:tcPr>
            <w:tcW w:w="399"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C</w:t>
            </w:r>
          </w:p>
        </w:tc>
        <w:tc>
          <w:tcPr>
            <w:tcW w:w="400" w:type="dxa"/>
            <w:noWrap w:val="0"/>
            <w:vAlign w:val="center"/>
          </w:tcPr>
          <w:p>
            <w:pPr>
              <w:spacing w:line="400" w:lineRule="exact"/>
              <w:jc w:val="center"/>
              <w:rPr>
                <w:rFonts w:hint="eastAsia" w:ascii="仿宋_GB2312" w:hAnsi="新宋体" w:eastAsia="仿宋_GB2312"/>
                <w:b/>
                <w:sz w:val="24"/>
                <w:szCs w:val="24"/>
              </w:rPr>
            </w:pPr>
            <w:r>
              <w:rPr>
                <w:rFonts w:hint="eastAsia" w:ascii="仿宋_GB2312" w:hAnsi="新宋体" w:eastAsia="仿宋_GB2312"/>
                <w:b/>
                <w:sz w:val="24"/>
                <w:szCs w:val="24"/>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restart"/>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1、组织与管理</w:t>
            </w: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1.1组织领导*</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领导小组健全，指导得力，对选题、中期检查、论文答辩等过程管理工作严格要求。</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领导机构基本健全，毕业论文或设计工作的过程管理不够重视，没有严格要求。</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1.2答辩机构</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答</w:t>
            </w:r>
            <w:r>
              <w:rPr>
                <w:rFonts w:hint="eastAsia" w:ascii="仿宋_GB2312" w:hAnsi="新宋体" w:eastAsia="仿宋_GB2312"/>
                <w:spacing w:val="4"/>
                <w:sz w:val="24"/>
                <w:szCs w:val="24"/>
              </w:rPr>
              <w:t>辩委员会健全，成员素质高，有权威性，高级职称占90%以上；答辩小组在3人以上，全部为高级职称。</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答辩委员会基本健全，高级职称占70%左右；答辩小组能保证有3人，其中有高级职称者占1/3以上。</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1.3管理文件</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有详细的工作计划，有规范的论文撰写标准。</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有工作计划但不够详尽，有撰写标准但不够规范。</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restart"/>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2、选题与指导</w:t>
            </w: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2.1选题性质*</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90%以上的选题是联系社会实际、符合专业人才培养目标要求的题目，或属专业理论应用的题目。</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60%--70%（不含）的选题是属于专业人才培养目标要求、联系社会实际的题目，或属于专业理论应用的题目。</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2.2题目更新</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一人一题，选题无雷同情况，系（部）提供给学生的选题范围为1:1.5，且每年题目更新率在85%以上。</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一人一题，学院提供给学生的选题范围为1:1.2，且每年题目更新率不低于75%。</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2.3指导教师</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具有副教授（含）以上职称或有博士学位，主持省级以上课题并发表过相关论文者的比例≥60%。</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具有讲师及以上职称或有硕士及以上学位的指导教师达100%。</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2.4指导人数</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指导教师每人指导学生人数符合学校要求，文科≤8人，理科≤6人。</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基本符合学校要求，文科≤10人，理科≤8人。</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2.5指导过程</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严格履行指导老师职责，严格要求，及时了解并解决学生提出的问题。</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能进行指导，要求不够严格。</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restart"/>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3、开题、评卷与答辩</w:t>
            </w: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3.1开题</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全</w:t>
            </w:r>
            <w:r>
              <w:rPr>
                <w:rFonts w:hint="eastAsia" w:ascii="仿宋_GB2312" w:hAnsi="新宋体" w:eastAsia="仿宋_GB2312"/>
                <w:spacing w:val="4"/>
                <w:sz w:val="24"/>
                <w:szCs w:val="24"/>
              </w:rPr>
              <w:t>员按时开题，符合开题一般程序；开题报告质量高。</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90%按时开题，并符合开题一般程序且开题报告合格。</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3.2答辩程序*</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全员答辩，完全符合答辩一般程序。</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基本符合答辩程序。</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3.3成绩评定*</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坚持评分标准，评阅人、指导教师、答辩小组、系（部）学术委员会四方成绩比例符合学校规定，成绩呈正态分布。</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成绩评定基本合理，成绩欠正态分布。</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3.4评语质量*</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评阅人、指导教师、答辩小组准确、规范，针对性强，区分度高。</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三</w:t>
            </w:r>
            <w:r>
              <w:rPr>
                <w:rFonts w:hint="eastAsia" w:ascii="仿宋_GB2312" w:hAnsi="新宋体" w:eastAsia="仿宋_GB2312"/>
                <w:spacing w:val="-6"/>
                <w:sz w:val="24"/>
                <w:szCs w:val="24"/>
              </w:rPr>
              <w:t>种评语欠准确、规范、区分度不高。</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188" w:type="dxa"/>
            <w:vMerge w:val="restart"/>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4、总结与归档</w:t>
            </w: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4.1工作总结*</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符合学校毕业论文（设计）工作总结的要求，综合评价及各种分析详细具体。</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基本符合学校毕业论文（设计）工作总结的要求，综合评价及各种分析不够详细具体。</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4.2 情况汇总表</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情况汇总表各项目填写详细、准确。</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情</w:t>
            </w:r>
            <w:r>
              <w:rPr>
                <w:rFonts w:hint="eastAsia" w:ascii="仿宋_GB2312" w:hAnsi="新宋体" w:eastAsia="仿宋_GB2312"/>
                <w:spacing w:val="-10"/>
                <w:sz w:val="24"/>
                <w:szCs w:val="24"/>
              </w:rPr>
              <w:t>况汇总表各项目填写基本详细、准确。</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4.3优秀毕业论文情况</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优秀论文有推荐表，推荐意见详细，推荐过程客观准确。</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优</w:t>
            </w:r>
            <w:r>
              <w:rPr>
                <w:rFonts w:hint="eastAsia" w:ascii="仿宋_GB2312" w:hAnsi="新宋体" w:eastAsia="仿宋_GB2312"/>
                <w:spacing w:val="-10"/>
                <w:sz w:val="24"/>
                <w:szCs w:val="24"/>
              </w:rPr>
              <w:t>秀论文有推荐表，推荐意见不够详细，推荐过程基本客观。</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4.4 未参加答辩和答辩未通过情况</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未答辩和未通过的论文有详细记录，并原因说明充分。</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有记录，原因说明不充分。</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spacing w:line="310" w:lineRule="exact"/>
              <w:rPr>
                <w:rFonts w:hint="eastAsia" w:ascii="仿宋_GB2312" w:hAnsi="新宋体" w:eastAsia="仿宋_GB2312"/>
                <w:sz w:val="24"/>
                <w:szCs w:val="24"/>
              </w:rPr>
            </w:pPr>
          </w:p>
        </w:tc>
        <w:tc>
          <w:tcPr>
            <w:tcW w:w="1152" w:type="dxa"/>
            <w:noWrap w:val="0"/>
            <w:vAlign w:val="center"/>
          </w:tcPr>
          <w:p>
            <w:pPr>
              <w:spacing w:line="310" w:lineRule="exact"/>
              <w:rPr>
                <w:rFonts w:hint="eastAsia" w:ascii="仿宋_GB2312" w:hAnsi="新宋体" w:eastAsia="仿宋_GB2312"/>
                <w:sz w:val="24"/>
                <w:szCs w:val="24"/>
              </w:rPr>
            </w:pPr>
            <w:r>
              <w:rPr>
                <w:rFonts w:hint="eastAsia" w:ascii="仿宋_GB2312" w:hAnsi="新宋体" w:eastAsia="仿宋_GB2312"/>
                <w:sz w:val="24"/>
                <w:szCs w:val="24"/>
              </w:rPr>
              <w:t>4.5归档情况*</w:t>
            </w:r>
          </w:p>
        </w:tc>
        <w:tc>
          <w:tcPr>
            <w:tcW w:w="2644"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毕</w:t>
            </w:r>
            <w:r>
              <w:rPr>
                <w:rFonts w:hint="eastAsia" w:ascii="仿宋_GB2312" w:hAnsi="新宋体" w:eastAsia="仿宋_GB2312"/>
                <w:spacing w:val="-6"/>
                <w:sz w:val="24"/>
                <w:szCs w:val="24"/>
              </w:rPr>
              <w:t>业论文的纸制稿和电子稿完整齐全及相关的管理文件齐全并有专柜存档。</w:t>
            </w:r>
          </w:p>
        </w:tc>
        <w:tc>
          <w:tcPr>
            <w:tcW w:w="2298" w:type="dxa"/>
            <w:noWrap w:val="0"/>
            <w:vAlign w:val="center"/>
          </w:tcPr>
          <w:p>
            <w:pPr>
              <w:spacing w:line="31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9</w:t>
            </w:r>
            <w:r>
              <w:rPr>
                <w:rFonts w:hint="eastAsia" w:ascii="仿宋_GB2312" w:hAnsi="新宋体" w:eastAsia="仿宋_GB2312"/>
                <w:spacing w:val="-4"/>
                <w:sz w:val="24"/>
                <w:szCs w:val="24"/>
              </w:rPr>
              <w:t>0%及以上的毕业论文的纸制稿和电子稿齐全，相关的管理文件存档但欠规范。</w:t>
            </w: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c>
          <w:tcPr>
            <w:tcW w:w="399" w:type="dxa"/>
            <w:noWrap w:val="0"/>
            <w:vAlign w:val="center"/>
          </w:tcPr>
          <w:p>
            <w:pPr>
              <w:spacing w:line="310" w:lineRule="exact"/>
              <w:rPr>
                <w:rFonts w:hint="eastAsia" w:ascii="仿宋_GB2312" w:hAnsi="新宋体" w:eastAsia="仿宋_GB2312"/>
                <w:sz w:val="24"/>
                <w:szCs w:val="24"/>
              </w:rPr>
            </w:pPr>
          </w:p>
        </w:tc>
        <w:tc>
          <w:tcPr>
            <w:tcW w:w="400" w:type="dxa"/>
            <w:noWrap w:val="0"/>
            <w:vAlign w:val="center"/>
          </w:tcPr>
          <w:p>
            <w:pPr>
              <w:spacing w:line="310" w:lineRule="exact"/>
              <w:rPr>
                <w:rFonts w:hint="eastAsia" w:ascii="仿宋_GB2312" w:hAnsi="新宋体" w:eastAsia="仿宋_GB2312"/>
                <w:sz w:val="24"/>
                <w:szCs w:val="24"/>
              </w:rPr>
            </w:pPr>
          </w:p>
        </w:tc>
      </w:tr>
    </w:tbl>
    <w:p>
      <w:pPr>
        <w:spacing w:line="560" w:lineRule="exact"/>
        <w:ind w:firstLine="643" w:firstLineChars="200"/>
        <w:jc w:val="left"/>
        <w:rPr>
          <w:rFonts w:hint="eastAsia" w:ascii="仿宋_GB2312" w:hAnsi="新宋体" w:eastAsia="仿宋_GB2312"/>
          <w:b/>
          <w:sz w:val="32"/>
          <w:szCs w:val="32"/>
        </w:rPr>
      </w:pPr>
    </w:p>
    <w:p>
      <w:pPr>
        <w:spacing w:line="560" w:lineRule="exact"/>
        <w:ind w:firstLine="643" w:firstLineChars="200"/>
        <w:jc w:val="left"/>
        <w:rPr>
          <w:rFonts w:hint="eastAsia" w:ascii="仿宋_GB2312" w:hAnsi="新宋体" w:eastAsia="仿宋_GB2312"/>
          <w:b/>
          <w:sz w:val="32"/>
          <w:szCs w:val="32"/>
        </w:rPr>
      </w:pPr>
    </w:p>
    <w:p>
      <w:pPr>
        <w:spacing w:line="560" w:lineRule="exact"/>
        <w:ind w:firstLine="643" w:firstLineChars="200"/>
        <w:jc w:val="left"/>
        <w:rPr>
          <w:rFonts w:hint="eastAsia" w:ascii="仿宋_GB2312" w:hAnsi="新宋体" w:eastAsia="仿宋_GB2312"/>
          <w:sz w:val="32"/>
          <w:szCs w:val="32"/>
        </w:rPr>
      </w:pPr>
      <w:r>
        <w:rPr>
          <w:rFonts w:hint="eastAsia" w:ascii="仿宋_GB2312" w:hAnsi="新宋体" w:eastAsia="仿宋_GB2312"/>
          <w:b/>
          <w:sz w:val="32"/>
          <w:szCs w:val="32"/>
        </w:rPr>
        <w:t>注：</w:t>
      </w:r>
      <w:r>
        <w:rPr>
          <w:rFonts w:hint="eastAsia" w:ascii="仿宋_GB2312" w:hAnsi="新宋体" w:eastAsia="仿宋_GB2312"/>
          <w:sz w:val="32"/>
          <w:szCs w:val="32"/>
        </w:rPr>
        <w:t>管理工作评估方案设一级指标4项，主要观测点17项，其中重要观测点带*号7项，一般观测点10项。本方案的等级标准是针对观测点给定的，观测点等级设A，B，C，D四级，方案中只给出A级和C级标准，介于A级和C级之间的为B级，低于C级的为D级。毕业论文（设计）管理工作评估结论分为优秀、良好、合格、不合格四等，每个等级根据观测点的等级和数量确定，其标准是：</w:t>
      </w:r>
    </w:p>
    <w:p>
      <w:pPr>
        <w:spacing w:line="56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优秀：A≥10，C≤1（其中重要观测点A≥5，C=0），D=0；</w:t>
      </w:r>
    </w:p>
    <w:p>
      <w:pPr>
        <w:spacing w:line="56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良好：A+B≥8，C≤2（其中重要观测点A+B≥5，C≤1），D≤1；</w:t>
      </w:r>
    </w:p>
    <w:p>
      <w:pPr>
        <w:spacing w:line="56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合格：D≤3（其中重要观测点D≤1）；</w:t>
      </w:r>
    </w:p>
    <w:p>
      <w:pPr>
        <w:spacing w:line="56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不合格：D≥4</w:t>
      </w:r>
    </w:p>
    <w:p>
      <w:pPr>
        <w:spacing w:line="560" w:lineRule="exact"/>
        <w:ind w:firstLine="640" w:firstLineChars="200"/>
        <w:jc w:val="left"/>
        <w:rPr>
          <w:rFonts w:hint="eastAsia" w:ascii="仿宋_GB2312" w:hAnsi="新宋体" w:eastAsia="仿宋_GB2312"/>
          <w:sz w:val="32"/>
          <w:szCs w:val="32"/>
        </w:rPr>
      </w:pPr>
    </w:p>
    <w:p>
      <w:pPr>
        <w:spacing w:line="560" w:lineRule="exact"/>
        <w:ind w:firstLine="640" w:firstLineChars="200"/>
        <w:jc w:val="left"/>
        <w:rPr>
          <w:rFonts w:hint="eastAsia" w:ascii="仿宋_GB2312" w:hAnsi="新宋体" w:eastAsia="仿宋_GB2312"/>
          <w:sz w:val="32"/>
          <w:szCs w:val="32"/>
          <w:u w:val="single"/>
        </w:rPr>
      </w:pPr>
      <w:r>
        <w:rPr>
          <w:rFonts w:hint="eastAsia" w:ascii="仿宋_GB2312" w:hAnsi="新宋体" w:eastAsia="仿宋_GB2312"/>
          <w:sz w:val="32"/>
          <w:szCs w:val="32"/>
        </w:rPr>
        <w:t>评估学院：</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 xml:space="preserve">    评定等级：</w:t>
      </w:r>
    </w:p>
    <w:p>
      <w:pPr>
        <w:spacing w:line="560" w:lineRule="exact"/>
        <w:ind w:firstLine="640" w:firstLineChars="200"/>
        <w:jc w:val="left"/>
        <w:rPr>
          <w:rFonts w:hint="eastAsia" w:ascii="仿宋_GB2312" w:hAnsi="新宋体" w:eastAsia="仿宋_GB2312"/>
          <w:sz w:val="32"/>
          <w:szCs w:val="32"/>
          <w:u w:val="single"/>
        </w:rPr>
      </w:pPr>
      <w:r>
        <w:rPr>
          <w:rFonts w:hint="eastAsia" w:ascii="仿宋_GB2312" w:hAnsi="新宋体" w:eastAsia="仿宋_GB2312"/>
          <w:sz w:val="32"/>
          <w:szCs w:val="32"/>
        </w:rPr>
        <w:t>专家签字：</w:t>
      </w:r>
    </w:p>
    <w:p>
      <w:pPr>
        <w:spacing w:line="560" w:lineRule="exact"/>
        <w:jc w:val="left"/>
        <w:rPr>
          <w:rFonts w:hint="eastAsia" w:ascii="仿宋_GB2312" w:hAnsi="新宋体" w:eastAsia="仿宋_GB2312"/>
          <w:b/>
          <w:bCs/>
          <w:sz w:val="32"/>
          <w:szCs w:val="32"/>
        </w:rPr>
      </w:pPr>
      <w:r>
        <w:rPr>
          <w:rFonts w:ascii="仿宋_GB2312" w:hAnsi="新宋体" w:eastAsia="仿宋_GB2312"/>
          <w:sz w:val="32"/>
          <w:szCs w:val="32"/>
        </w:rPr>
        <w:br w:type="page"/>
      </w:r>
      <w:r>
        <w:rPr>
          <w:rFonts w:hint="eastAsia" w:ascii="仿宋_GB2312" w:hAnsi="新宋体" w:eastAsia="仿宋_GB2312"/>
          <w:sz w:val="32"/>
          <w:szCs w:val="32"/>
        </w:rPr>
        <w:t>附件3：</w:t>
      </w:r>
    </w:p>
    <w:p>
      <w:pPr>
        <w:spacing w:line="560" w:lineRule="exact"/>
        <w:jc w:val="center"/>
        <w:rPr>
          <w:rFonts w:hint="eastAsia" w:ascii="仿宋_GB2312" w:hAnsi="新宋体" w:eastAsia="仿宋_GB2312"/>
          <w:bCs/>
          <w:sz w:val="32"/>
          <w:szCs w:val="32"/>
        </w:rPr>
      </w:pPr>
      <w:r>
        <w:rPr>
          <w:rFonts w:hint="eastAsia" w:ascii="仿宋_GB2312" w:hAnsi="新宋体" w:eastAsia="仿宋_GB2312"/>
          <w:bCs/>
          <w:sz w:val="32"/>
          <w:szCs w:val="32"/>
        </w:rPr>
        <w:t>湖南科技学院毕业论文（设计）质量评价表</w:t>
      </w:r>
    </w:p>
    <w:p>
      <w:pPr>
        <w:spacing w:line="560" w:lineRule="exact"/>
        <w:rPr>
          <w:rFonts w:hint="eastAsia" w:ascii="仿宋_GB2312" w:hAnsi="新宋体" w:eastAsia="仿宋_GB2312"/>
          <w:bCs/>
          <w:sz w:val="32"/>
          <w:szCs w:val="32"/>
        </w:rPr>
      </w:pPr>
    </w:p>
    <w:tbl>
      <w:tblPr>
        <w:tblStyle w:val="3"/>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0"/>
        <w:gridCol w:w="720"/>
        <w:gridCol w:w="1060"/>
        <w:gridCol w:w="700"/>
        <w:gridCol w:w="709"/>
        <w:gridCol w:w="617"/>
        <w:gridCol w:w="588"/>
        <w:gridCol w:w="783"/>
        <w:gridCol w:w="1554"/>
        <w:gridCol w:w="568"/>
        <w:gridCol w:w="242"/>
        <w:gridCol w:w="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542" w:type="dxa"/>
            <w:gridSpan w:val="3"/>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题目名称</w:t>
            </w:r>
          </w:p>
        </w:tc>
        <w:tc>
          <w:tcPr>
            <w:tcW w:w="7379" w:type="dxa"/>
            <w:gridSpan w:val="10"/>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542" w:type="dxa"/>
            <w:gridSpan w:val="3"/>
            <w:noWrap w:val="0"/>
            <w:vAlign w:val="center"/>
          </w:tcPr>
          <w:p>
            <w:pPr>
              <w:spacing w:line="360" w:lineRule="exact"/>
              <w:rPr>
                <w:rFonts w:hint="eastAsia" w:ascii="仿宋_GB2312" w:hAnsi="新宋体" w:eastAsia="仿宋_GB2312"/>
                <w:sz w:val="24"/>
                <w:szCs w:val="24"/>
              </w:rPr>
            </w:pPr>
            <w:r>
              <w:rPr>
                <w:rFonts w:hint="eastAsia" w:ascii="仿宋_GB2312" w:hAnsi="新宋体" w:eastAsia="仿宋_GB2312"/>
                <w:sz w:val="24"/>
                <w:szCs w:val="24"/>
              </w:rPr>
              <w:t>专   业</w:t>
            </w:r>
          </w:p>
        </w:tc>
        <w:tc>
          <w:tcPr>
            <w:tcW w:w="1760" w:type="dxa"/>
            <w:gridSpan w:val="2"/>
            <w:noWrap w:val="0"/>
            <w:vAlign w:val="center"/>
          </w:tcPr>
          <w:p>
            <w:pPr>
              <w:spacing w:line="360" w:lineRule="exact"/>
              <w:jc w:val="center"/>
              <w:rPr>
                <w:rFonts w:hint="eastAsia" w:ascii="仿宋_GB2312" w:hAnsi="新宋体" w:eastAsia="仿宋_GB2312"/>
                <w:sz w:val="24"/>
                <w:szCs w:val="24"/>
              </w:rPr>
            </w:pPr>
          </w:p>
        </w:tc>
        <w:tc>
          <w:tcPr>
            <w:tcW w:w="1326"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年级及班级</w:t>
            </w:r>
          </w:p>
        </w:tc>
        <w:tc>
          <w:tcPr>
            <w:tcW w:w="1371" w:type="dxa"/>
            <w:gridSpan w:val="2"/>
            <w:noWrap w:val="0"/>
            <w:vAlign w:val="center"/>
          </w:tcPr>
          <w:p>
            <w:pPr>
              <w:spacing w:line="360" w:lineRule="exact"/>
              <w:jc w:val="center"/>
              <w:rPr>
                <w:rFonts w:hint="eastAsia" w:ascii="仿宋_GB2312" w:hAnsi="新宋体" w:eastAsia="仿宋_GB2312"/>
                <w:sz w:val="24"/>
                <w:szCs w:val="24"/>
              </w:rPr>
            </w:pPr>
          </w:p>
        </w:tc>
        <w:tc>
          <w:tcPr>
            <w:tcW w:w="1554"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学生姓名</w:t>
            </w:r>
          </w:p>
        </w:tc>
        <w:tc>
          <w:tcPr>
            <w:tcW w:w="1368" w:type="dxa"/>
            <w:gridSpan w:val="3"/>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542" w:type="dxa"/>
            <w:gridSpan w:val="3"/>
            <w:noWrap w:val="0"/>
            <w:vAlign w:val="center"/>
          </w:tcPr>
          <w:p>
            <w:pPr>
              <w:spacing w:line="360" w:lineRule="exact"/>
              <w:rPr>
                <w:rFonts w:hint="eastAsia" w:ascii="仿宋_GB2312" w:hAnsi="新宋体" w:eastAsia="仿宋_GB2312"/>
                <w:sz w:val="24"/>
                <w:szCs w:val="24"/>
              </w:rPr>
            </w:pPr>
            <w:r>
              <w:rPr>
                <w:rFonts w:hint="eastAsia" w:ascii="仿宋_GB2312" w:hAnsi="新宋体" w:eastAsia="仿宋_GB2312"/>
                <w:sz w:val="24"/>
                <w:szCs w:val="24"/>
              </w:rPr>
              <w:t>指导教师</w:t>
            </w:r>
          </w:p>
        </w:tc>
        <w:tc>
          <w:tcPr>
            <w:tcW w:w="1060" w:type="dxa"/>
            <w:noWrap w:val="0"/>
            <w:vAlign w:val="center"/>
          </w:tcPr>
          <w:p>
            <w:pPr>
              <w:spacing w:line="360" w:lineRule="exact"/>
              <w:jc w:val="center"/>
              <w:rPr>
                <w:rFonts w:hint="eastAsia" w:ascii="仿宋_GB2312" w:hAnsi="新宋体" w:eastAsia="仿宋_GB2312"/>
                <w:sz w:val="24"/>
                <w:szCs w:val="24"/>
              </w:rPr>
            </w:pPr>
          </w:p>
        </w:tc>
        <w:tc>
          <w:tcPr>
            <w:tcW w:w="70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职称</w:t>
            </w:r>
          </w:p>
        </w:tc>
        <w:tc>
          <w:tcPr>
            <w:tcW w:w="709" w:type="dxa"/>
            <w:noWrap w:val="0"/>
            <w:vAlign w:val="center"/>
          </w:tcPr>
          <w:p>
            <w:pPr>
              <w:spacing w:line="360" w:lineRule="exact"/>
              <w:jc w:val="center"/>
              <w:rPr>
                <w:rFonts w:hint="eastAsia" w:ascii="仿宋_GB2312" w:hAnsi="新宋体" w:eastAsia="仿宋_GB2312"/>
                <w:sz w:val="24"/>
                <w:szCs w:val="24"/>
              </w:rPr>
            </w:pPr>
          </w:p>
        </w:tc>
        <w:tc>
          <w:tcPr>
            <w:tcW w:w="1205"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成绩评定</w:t>
            </w:r>
          </w:p>
        </w:tc>
        <w:tc>
          <w:tcPr>
            <w:tcW w:w="783" w:type="dxa"/>
            <w:noWrap w:val="0"/>
            <w:vAlign w:val="center"/>
          </w:tcPr>
          <w:p>
            <w:pPr>
              <w:spacing w:line="360" w:lineRule="exact"/>
              <w:jc w:val="center"/>
              <w:rPr>
                <w:rFonts w:hint="eastAsia" w:ascii="仿宋_GB2312" w:hAnsi="新宋体" w:eastAsia="仿宋_GB2312"/>
                <w:sz w:val="24"/>
                <w:szCs w:val="24"/>
              </w:rPr>
            </w:pPr>
          </w:p>
        </w:tc>
        <w:tc>
          <w:tcPr>
            <w:tcW w:w="2364" w:type="dxa"/>
            <w:gridSpan w:val="3"/>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学院答辩小组成绩评定</w:t>
            </w:r>
          </w:p>
        </w:tc>
        <w:tc>
          <w:tcPr>
            <w:tcW w:w="558" w:type="dxa"/>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542" w:type="dxa"/>
            <w:gridSpan w:val="3"/>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阅卷教师</w:t>
            </w:r>
          </w:p>
        </w:tc>
        <w:tc>
          <w:tcPr>
            <w:tcW w:w="1060" w:type="dxa"/>
            <w:noWrap w:val="0"/>
            <w:vAlign w:val="center"/>
          </w:tcPr>
          <w:p>
            <w:pPr>
              <w:spacing w:line="360" w:lineRule="exact"/>
              <w:jc w:val="center"/>
              <w:rPr>
                <w:rFonts w:hint="eastAsia" w:ascii="仿宋_GB2312" w:hAnsi="新宋体" w:eastAsia="仿宋_GB2312"/>
                <w:sz w:val="24"/>
                <w:szCs w:val="24"/>
              </w:rPr>
            </w:pPr>
          </w:p>
        </w:tc>
        <w:tc>
          <w:tcPr>
            <w:tcW w:w="70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职称</w:t>
            </w:r>
          </w:p>
        </w:tc>
        <w:tc>
          <w:tcPr>
            <w:tcW w:w="709" w:type="dxa"/>
            <w:noWrap w:val="0"/>
            <w:vAlign w:val="center"/>
          </w:tcPr>
          <w:p>
            <w:pPr>
              <w:spacing w:line="360" w:lineRule="exact"/>
              <w:jc w:val="center"/>
              <w:rPr>
                <w:rFonts w:hint="eastAsia" w:ascii="仿宋_GB2312" w:hAnsi="新宋体" w:eastAsia="仿宋_GB2312"/>
                <w:sz w:val="24"/>
                <w:szCs w:val="24"/>
              </w:rPr>
            </w:pPr>
          </w:p>
        </w:tc>
        <w:tc>
          <w:tcPr>
            <w:tcW w:w="1205"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成绩评定</w:t>
            </w:r>
          </w:p>
        </w:tc>
        <w:tc>
          <w:tcPr>
            <w:tcW w:w="783" w:type="dxa"/>
            <w:noWrap w:val="0"/>
            <w:vAlign w:val="center"/>
          </w:tcPr>
          <w:p>
            <w:pPr>
              <w:spacing w:line="360" w:lineRule="exact"/>
              <w:jc w:val="center"/>
              <w:rPr>
                <w:rFonts w:hint="eastAsia" w:ascii="仿宋_GB2312" w:hAnsi="新宋体" w:eastAsia="仿宋_GB2312"/>
                <w:sz w:val="24"/>
                <w:szCs w:val="24"/>
              </w:rPr>
            </w:pPr>
          </w:p>
        </w:tc>
        <w:tc>
          <w:tcPr>
            <w:tcW w:w="2364" w:type="dxa"/>
            <w:gridSpan w:val="3"/>
            <w:noWrap w:val="0"/>
            <w:vAlign w:val="center"/>
          </w:tcPr>
          <w:p>
            <w:pPr>
              <w:spacing w:line="360" w:lineRule="exact"/>
              <w:ind w:left="-105" w:leftChars="-50" w:right="-105" w:rightChars="-50"/>
              <w:jc w:val="center"/>
              <w:rPr>
                <w:rFonts w:hint="eastAsia" w:ascii="仿宋_GB2312" w:hAnsi="新宋体" w:eastAsia="仿宋_GB2312"/>
                <w:sz w:val="24"/>
                <w:szCs w:val="24"/>
              </w:rPr>
            </w:pPr>
            <w:r>
              <w:rPr>
                <w:rFonts w:hint="eastAsia" w:ascii="仿宋_GB2312" w:hAnsi="新宋体" w:eastAsia="仿宋_GB2312"/>
                <w:sz w:val="24"/>
                <w:szCs w:val="24"/>
              </w:rPr>
              <w:t>学院学术委员会成绩评定</w:t>
            </w:r>
          </w:p>
        </w:tc>
        <w:tc>
          <w:tcPr>
            <w:tcW w:w="558" w:type="dxa"/>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712"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评价</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指标</w:t>
            </w:r>
          </w:p>
        </w:tc>
        <w:tc>
          <w:tcPr>
            <w:tcW w:w="1890" w:type="dxa"/>
            <w:gridSpan w:val="3"/>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评价要素</w:t>
            </w:r>
          </w:p>
        </w:tc>
        <w:tc>
          <w:tcPr>
            <w:tcW w:w="4951" w:type="dxa"/>
            <w:gridSpan w:val="6"/>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评  价  内  涵</w:t>
            </w:r>
          </w:p>
        </w:tc>
        <w:tc>
          <w:tcPr>
            <w:tcW w:w="568" w:type="dxa"/>
            <w:noWrap w:val="0"/>
            <w:vAlign w:val="center"/>
          </w:tcPr>
          <w:p>
            <w:pPr>
              <w:spacing w:line="360" w:lineRule="exact"/>
              <w:ind w:left="-105" w:leftChars="-50" w:right="-105" w:rightChars="-50"/>
              <w:jc w:val="center"/>
              <w:rPr>
                <w:rFonts w:hint="eastAsia" w:ascii="仿宋_GB2312" w:hAnsi="新宋体" w:eastAsia="仿宋_GB2312"/>
                <w:sz w:val="24"/>
                <w:szCs w:val="24"/>
              </w:rPr>
            </w:pPr>
            <w:r>
              <w:rPr>
                <w:rFonts w:hint="eastAsia" w:ascii="仿宋_GB2312" w:hAnsi="新宋体" w:eastAsia="仿宋_GB2312"/>
                <w:sz w:val="24"/>
                <w:szCs w:val="24"/>
              </w:rPr>
              <w:t>分值</w:t>
            </w:r>
          </w:p>
        </w:tc>
        <w:tc>
          <w:tcPr>
            <w:tcW w:w="80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12" w:type="dxa"/>
            <w:vMerge w:val="restart"/>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选</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题</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质</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量</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25%</w:t>
            </w: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01</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目的明确</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符合要求</w:t>
            </w:r>
          </w:p>
        </w:tc>
        <w:tc>
          <w:tcPr>
            <w:tcW w:w="4951" w:type="dxa"/>
            <w:gridSpan w:val="6"/>
            <w:noWrap w:val="0"/>
            <w:vAlign w:val="center"/>
          </w:tcPr>
          <w:p>
            <w:pPr>
              <w:spacing w:line="36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选题符合专业培养目标，体现学科、专业特点和教学计划的基本要求，达到毕业论文（设计）综合训练的目的。</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02</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理论意义或实际价值</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符合本学科的理论发展，有一定的学术意义；对经济建设和社会发展的应用性研究中的某个理论或方法问题进行研究，具有一定的实际价值。</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03</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选题适当</w:t>
            </w:r>
          </w:p>
        </w:tc>
        <w:tc>
          <w:tcPr>
            <w:tcW w:w="4951" w:type="dxa"/>
            <w:gridSpan w:val="6"/>
            <w:noWrap w:val="0"/>
            <w:vAlign w:val="center"/>
          </w:tcPr>
          <w:p>
            <w:pPr>
              <w:spacing w:line="36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题目规模适当，难易度适中；有一定的科学性。</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12" w:type="dxa"/>
            <w:vMerge w:val="restart"/>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能</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力</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水</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平</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40%</w:t>
            </w: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04</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查阅文献资料能力</w:t>
            </w:r>
          </w:p>
        </w:tc>
        <w:tc>
          <w:tcPr>
            <w:tcW w:w="4951" w:type="dxa"/>
            <w:gridSpan w:val="6"/>
            <w:noWrap w:val="0"/>
            <w:vAlign w:val="center"/>
          </w:tcPr>
          <w:p>
            <w:pPr>
              <w:spacing w:line="360" w:lineRule="exact"/>
              <w:ind w:firstLine="480" w:firstLineChars="200"/>
              <w:rPr>
                <w:rFonts w:hint="eastAsia" w:ascii="仿宋_GB2312" w:hAnsi="新宋体" w:eastAsia="仿宋_GB2312"/>
                <w:sz w:val="24"/>
                <w:szCs w:val="24"/>
              </w:rPr>
            </w:pPr>
            <w:r>
              <w:rPr>
                <w:rFonts w:hint="eastAsia" w:ascii="仿宋_GB2312" w:hAnsi="新宋体" w:eastAsia="仿宋_GB2312"/>
                <w:sz w:val="24"/>
                <w:szCs w:val="24"/>
              </w:rPr>
              <w:t>能独立查阅相关文献资料，归纳总结本论文所涉及的有关研究状况及成果。</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05</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综合运用知识能力</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能运用所学专业知识阐述问题；能对查阅的资料进行整理和运用；能对其科学论点进行论证。</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06</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研究方案的设计能力</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整体思路清晰；研究方案合理可行。</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07</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研究方法和手段的运用能力</w:t>
            </w:r>
          </w:p>
          <w:p>
            <w:pPr>
              <w:spacing w:line="360" w:lineRule="exact"/>
              <w:jc w:val="center"/>
              <w:rPr>
                <w:rFonts w:hint="eastAsia" w:ascii="仿宋_GB2312" w:hAnsi="新宋体" w:eastAsia="仿宋_GB2312"/>
                <w:sz w:val="24"/>
                <w:szCs w:val="24"/>
              </w:rPr>
            </w:pP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能运用本学科常规研究方法及相关研究手段（如计算机、实验仪器设备等）进行实验、实践并加工处理、总结信息。</w:t>
            </w:r>
          </w:p>
          <w:p>
            <w:pPr>
              <w:spacing w:line="360" w:lineRule="exact"/>
              <w:ind w:firstLine="464" w:firstLineChars="200"/>
              <w:rPr>
                <w:rFonts w:hint="eastAsia" w:ascii="仿宋_GB2312" w:hAnsi="新宋体" w:eastAsia="仿宋_GB2312"/>
                <w:spacing w:val="-4"/>
                <w:sz w:val="24"/>
                <w:szCs w:val="24"/>
              </w:rPr>
            </w:pP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08</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外文应用</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能力</w:t>
            </w:r>
          </w:p>
        </w:tc>
        <w:tc>
          <w:tcPr>
            <w:tcW w:w="4951" w:type="dxa"/>
            <w:gridSpan w:val="6"/>
            <w:noWrap w:val="0"/>
            <w:vAlign w:val="center"/>
          </w:tcPr>
          <w:p>
            <w:pPr>
              <w:spacing w:line="360" w:lineRule="exact"/>
              <w:ind w:firstLine="464" w:firstLineChars="200"/>
              <w:rPr>
                <w:rFonts w:hint="eastAsia" w:ascii="仿宋_GB2312" w:hAnsi="新宋体" w:eastAsia="仿宋_GB2312"/>
                <w:spacing w:val="-10"/>
                <w:sz w:val="24"/>
                <w:szCs w:val="24"/>
              </w:rPr>
            </w:pPr>
            <w:r>
              <w:rPr>
                <w:rFonts w:hint="eastAsia" w:ascii="仿宋_GB2312" w:hAnsi="新宋体" w:eastAsia="仿宋_GB2312"/>
                <w:spacing w:val="-4"/>
                <w:sz w:val="24"/>
                <w:szCs w:val="24"/>
              </w:rPr>
              <w:t>能</w:t>
            </w:r>
            <w:r>
              <w:rPr>
                <w:rFonts w:hint="eastAsia" w:ascii="仿宋_GB2312" w:hAnsi="新宋体" w:eastAsia="仿宋_GB2312"/>
                <w:spacing w:val="-10"/>
                <w:sz w:val="24"/>
                <w:szCs w:val="24"/>
              </w:rPr>
              <w:t>阅读、翻译一定量的本专业外文资料、外文摘要和外文参考书目（特殊专业除外）体现一定的外语水平。</w:t>
            </w:r>
          </w:p>
          <w:p>
            <w:pPr>
              <w:spacing w:line="360" w:lineRule="exact"/>
              <w:ind w:firstLine="464" w:firstLineChars="200"/>
              <w:rPr>
                <w:rFonts w:hint="eastAsia" w:ascii="仿宋_GB2312" w:hAnsi="新宋体" w:eastAsia="仿宋_GB2312"/>
                <w:spacing w:val="-4"/>
                <w:sz w:val="24"/>
                <w:szCs w:val="24"/>
              </w:rPr>
            </w:pP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12" w:type="dxa"/>
            <w:vMerge w:val="restart"/>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论</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文</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质</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量</w:t>
            </w:r>
          </w:p>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35%</w:t>
            </w: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09</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文题相符</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较好地完成论文选题的目的要求。</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写作水平</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论点鲜明；论据充分；条理清晰；语言流畅。</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11</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写作规范</w:t>
            </w:r>
          </w:p>
        </w:tc>
        <w:tc>
          <w:tcPr>
            <w:tcW w:w="4951" w:type="dxa"/>
            <w:gridSpan w:val="6"/>
            <w:noWrap w:val="0"/>
            <w:vAlign w:val="center"/>
          </w:tcPr>
          <w:p>
            <w:pPr>
              <w:spacing w:line="360" w:lineRule="exact"/>
              <w:ind w:firstLine="448" w:firstLineChars="200"/>
              <w:rPr>
                <w:rFonts w:hint="eastAsia" w:ascii="仿宋_GB2312" w:hAnsi="新宋体" w:eastAsia="仿宋_GB2312"/>
                <w:spacing w:val="-8"/>
                <w:sz w:val="24"/>
                <w:szCs w:val="24"/>
              </w:rPr>
            </w:pPr>
            <w:r>
              <w:rPr>
                <w:rFonts w:hint="eastAsia" w:ascii="仿宋_GB2312" w:hAnsi="新宋体" w:eastAsia="仿宋_GB2312"/>
                <w:spacing w:val="-8"/>
                <w:sz w:val="24"/>
                <w:szCs w:val="24"/>
              </w:rPr>
              <w:t>符合学术论文的基本要求。用语、格式、图表、数据、量和单位、各种资料引用规范化、符合标准。</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12" w:type="dxa"/>
            <w:vMerge w:val="continue"/>
            <w:noWrap w:val="0"/>
            <w:vAlign w:val="center"/>
          </w:tcPr>
          <w:p>
            <w:pPr>
              <w:spacing w:line="360" w:lineRule="exact"/>
              <w:jc w:val="center"/>
              <w:rPr>
                <w:rFonts w:hint="eastAsia" w:ascii="仿宋_GB2312" w:hAnsi="新宋体" w:eastAsia="仿宋_GB2312"/>
                <w:sz w:val="24"/>
                <w:szCs w:val="24"/>
              </w:rPr>
            </w:pPr>
          </w:p>
        </w:tc>
        <w:tc>
          <w:tcPr>
            <w:tcW w:w="830"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12</w:t>
            </w:r>
          </w:p>
        </w:tc>
        <w:tc>
          <w:tcPr>
            <w:tcW w:w="1060"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篇幅</w:t>
            </w:r>
          </w:p>
        </w:tc>
        <w:tc>
          <w:tcPr>
            <w:tcW w:w="4951" w:type="dxa"/>
            <w:gridSpan w:val="6"/>
            <w:noWrap w:val="0"/>
            <w:vAlign w:val="center"/>
          </w:tcPr>
          <w:p>
            <w:pPr>
              <w:spacing w:line="360" w:lineRule="exact"/>
              <w:ind w:firstLine="464" w:firstLineChars="200"/>
              <w:rPr>
                <w:rFonts w:hint="eastAsia" w:ascii="仿宋_GB2312" w:hAnsi="新宋体" w:eastAsia="仿宋_GB2312"/>
                <w:spacing w:val="-4"/>
                <w:sz w:val="24"/>
                <w:szCs w:val="24"/>
              </w:rPr>
            </w:pPr>
            <w:r>
              <w:rPr>
                <w:rFonts w:hint="eastAsia" w:ascii="仿宋_GB2312" w:hAnsi="新宋体" w:eastAsia="仿宋_GB2312"/>
                <w:spacing w:val="-4"/>
                <w:sz w:val="24"/>
                <w:szCs w:val="24"/>
              </w:rPr>
              <w:t>10000字左右。</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5</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3" w:type="dxa"/>
            <w:gridSpan w:val="10"/>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得 分 合 计</w:t>
            </w:r>
          </w:p>
        </w:tc>
        <w:tc>
          <w:tcPr>
            <w:tcW w:w="568" w:type="dxa"/>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100</w:t>
            </w:r>
          </w:p>
        </w:tc>
        <w:tc>
          <w:tcPr>
            <w:tcW w:w="800" w:type="dxa"/>
            <w:gridSpan w:val="2"/>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7553" w:type="dxa"/>
            <w:gridSpan w:val="10"/>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专家评定等级</w:t>
            </w:r>
          </w:p>
        </w:tc>
        <w:tc>
          <w:tcPr>
            <w:tcW w:w="1368" w:type="dxa"/>
            <w:gridSpan w:val="3"/>
            <w:noWrap w:val="0"/>
            <w:vAlign w:val="center"/>
          </w:tcPr>
          <w:p>
            <w:pPr>
              <w:spacing w:line="3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22" w:type="dxa"/>
            <w:gridSpan w:val="2"/>
            <w:noWrap w:val="0"/>
            <w:vAlign w:val="center"/>
          </w:tcPr>
          <w:p>
            <w:pPr>
              <w:spacing w:line="360" w:lineRule="exact"/>
              <w:jc w:val="center"/>
              <w:rPr>
                <w:rFonts w:hint="eastAsia" w:ascii="仿宋_GB2312" w:hAnsi="新宋体" w:eastAsia="仿宋_GB2312"/>
                <w:sz w:val="24"/>
                <w:szCs w:val="24"/>
              </w:rPr>
            </w:pPr>
            <w:r>
              <w:rPr>
                <w:rFonts w:hint="eastAsia" w:ascii="仿宋_GB2312" w:hAnsi="新宋体" w:eastAsia="仿宋_GB2312"/>
                <w:sz w:val="24"/>
                <w:szCs w:val="24"/>
              </w:rPr>
              <w:t>专家评语</w:t>
            </w:r>
          </w:p>
        </w:tc>
        <w:tc>
          <w:tcPr>
            <w:tcW w:w="8099" w:type="dxa"/>
            <w:gridSpan w:val="11"/>
            <w:noWrap w:val="0"/>
            <w:vAlign w:val="center"/>
          </w:tcPr>
          <w:p>
            <w:pPr>
              <w:spacing w:line="360" w:lineRule="exact"/>
              <w:jc w:val="center"/>
              <w:rPr>
                <w:rFonts w:hint="eastAsia" w:ascii="仿宋_GB2312" w:hAnsi="新宋体" w:eastAsia="仿宋_GB2312"/>
                <w:sz w:val="24"/>
                <w:szCs w:val="24"/>
              </w:rPr>
            </w:pPr>
          </w:p>
        </w:tc>
      </w:tr>
    </w:tbl>
    <w:p>
      <w:pPr>
        <w:spacing w:line="56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评价结果说明：采用评语、评分和评等相结合的办法，评分标准：总分等于各评价要素得分之和。总得分分为5级：优秀（90-100分）；良好（80-89分）；中等（70-79分）；及格（60-69分）不及格（60分以下）。</w:t>
      </w:r>
    </w:p>
    <w:p>
      <w:pPr>
        <w:spacing w:line="560" w:lineRule="exact"/>
        <w:ind w:firstLine="640" w:firstLineChars="200"/>
        <w:jc w:val="left"/>
        <w:rPr>
          <w:rFonts w:hint="eastAsia" w:ascii="仿宋_GB2312" w:hAnsi="新宋体" w:eastAsia="仿宋_GB2312"/>
          <w:sz w:val="32"/>
          <w:szCs w:val="32"/>
        </w:rPr>
      </w:pPr>
    </w:p>
    <w:p>
      <w:pPr>
        <w:spacing w:line="560" w:lineRule="exact"/>
        <w:ind w:firstLine="6720" w:firstLineChars="2100"/>
        <w:jc w:val="right"/>
        <w:rPr>
          <w:rFonts w:hint="eastAsia" w:ascii="仿宋_GB2312" w:hAnsi="新宋体" w:eastAsia="仿宋_GB2312"/>
          <w:sz w:val="32"/>
          <w:szCs w:val="32"/>
          <w:u w:val="single"/>
        </w:rPr>
      </w:pPr>
      <w:r>
        <w:rPr>
          <w:rFonts w:hint="eastAsia" w:ascii="仿宋_GB2312" w:hAnsi="新宋体" w:eastAsia="仿宋_GB2312"/>
          <w:sz w:val="32"/>
          <w:szCs w:val="32"/>
        </w:rPr>
        <w:t>专家签名：年   月   日</w:t>
      </w:r>
    </w:p>
    <w:p>
      <w:pPr>
        <w:spacing w:line="560" w:lineRule="exact"/>
        <w:ind w:firstLine="8960" w:firstLineChars="2800"/>
        <w:jc w:val="left"/>
        <w:rPr>
          <w:rFonts w:hint="eastAsia" w:ascii="仿宋_GB2312" w:hAnsi="新宋体" w:eastAsia="仿宋_GB2312"/>
          <w:sz w:val="32"/>
          <w:szCs w:val="32"/>
        </w:rPr>
      </w:pPr>
    </w:p>
    <w:p>
      <w:pPr>
        <w:spacing w:line="560" w:lineRule="exact"/>
        <w:jc w:val="left"/>
        <w:rPr>
          <w:rFonts w:hint="eastAsia" w:ascii="仿宋_GB2312" w:hAnsi="新宋体" w:eastAsia="仿宋_GB2312"/>
          <w:sz w:val="32"/>
          <w:szCs w:val="32"/>
        </w:rPr>
      </w:pPr>
      <w:r>
        <w:rPr>
          <w:rFonts w:ascii="仿宋_GB2312" w:hAnsi="新宋体" w:eastAsia="仿宋_GB2312"/>
          <w:sz w:val="32"/>
          <w:szCs w:val="32"/>
        </w:rPr>
        <w:br w:type="page"/>
      </w:r>
      <w:r>
        <w:rPr>
          <w:rFonts w:hint="eastAsia" w:ascii="仿宋_GB2312" w:hAnsi="新宋体" w:eastAsia="仿宋_GB2312"/>
          <w:sz w:val="32"/>
          <w:szCs w:val="32"/>
        </w:rPr>
        <w:t>附件4：</w:t>
      </w:r>
    </w:p>
    <w:p>
      <w:pPr>
        <w:spacing w:line="560" w:lineRule="exact"/>
        <w:jc w:val="center"/>
        <w:rPr>
          <w:rFonts w:hint="eastAsia" w:ascii="仿宋_GB2312" w:hAnsi="新宋体" w:eastAsia="仿宋_GB2312"/>
          <w:bCs/>
          <w:sz w:val="32"/>
          <w:szCs w:val="32"/>
        </w:rPr>
      </w:pPr>
      <w:r>
        <w:rPr>
          <w:rFonts w:hint="eastAsia" w:ascii="仿宋_GB2312" w:hAnsi="新宋体" w:eastAsia="仿宋_GB2312"/>
          <w:bCs/>
          <w:sz w:val="32"/>
          <w:szCs w:val="32"/>
        </w:rPr>
        <w:t>湖南科技学院毕业论文（设计）抽查评审分析表</w:t>
      </w:r>
    </w:p>
    <w:tbl>
      <w:tblPr>
        <w:tblStyle w:val="3"/>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080"/>
        <w:gridCol w:w="665"/>
        <w:gridCol w:w="595"/>
        <w:gridCol w:w="1235"/>
        <w:gridCol w:w="1572"/>
        <w:gridCol w:w="11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exact"/>
          <w:jc w:val="center"/>
        </w:trPr>
        <w:tc>
          <w:tcPr>
            <w:tcW w:w="2606" w:type="dxa"/>
            <w:noWrap w:val="0"/>
            <w:vAlign w:val="center"/>
          </w:tcPr>
          <w:p>
            <w:pPr>
              <w:spacing w:line="560" w:lineRule="exact"/>
              <w:jc w:val="center"/>
              <w:rPr>
                <w:rFonts w:hint="eastAsia" w:ascii="仿宋_GB2312" w:hAnsi="新宋体" w:eastAsia="仿宋_GB2312"/>
                <w:b/>
                <w:sz w:val="24"/>
                <w:szCs w:val="24"/>
              </w:rPr>
            </w:pPr>
            <w:r>
              <w:rPr>
                <w:rFonts w:hint="eastAsia" w:ascii="仿宋_GB2312" w:hAnsi="新宋体" w:eastAsia="仿宋_GB2312"/>
                <w:b/>
                <w:sz w:val="24"/>
                <w:szCs w:val="24"/>
              </w:rPr>
              <w:t>教学学院名称</w:t>
            </w:r>
          </w:p>
        </w:tc>
        <w:tc>
          <w:tcPr>
            <w:tcW w:w="3575" w:type="dxa"/>
            <w:gridSpan w:val="4"/>
            <w:noWrap w:val="0"/>
            <w:vAlign w:val="center"/>
          </w:tcPr>
          <w:p>
            <w:pPr>
              <w:spacing w:line="560" w:lineRule="exact"/>
              <w:jc w:val="center"/>
              <w:rPr>
                <w:rFonts w:hint="eastAsia" w:ascii="仿宋_GB2312" w:hAnsi="新宋体" w:eastAsia="仿宋_GB2312"/>
                <w:b/>
                <w:sz w:val="24"/>
                <w:szCs w:val="24"/>
              </w:rPr>
            </w:pPr>
            <w:r>
              <w:rPr>
                <w:rFonts w:hint="eastAsia" w:ascii="仿宋_GB2312" w:hAnsi="新宋体" w:eastAsia="仿宋_GB2312"/>
                <w:b/>
                <w:sz w:val="24"/>
                <w:szCs w:val="24"/>
              </w:rPr>
              <w:t>专业</w:t>
            </w:r>
          </w:p>
        </w:tc>
        <w:tc>
          <w:tcPr>
            <w:tcW w:w="1572" w:type="dxa"/>
            <w:noWrap w:val="0"/>
            <w:vAlign w:val="center"/>
          </w:tcPr>
          <w:p>
            <w:pPr>
              <w:spacing w:line="560" w:lineRule="exact"/>
              <w:jc w:val="center"/>
              <w:rPr>
                <w:rFonts w:hint="eastAsia" w:ascii="仿宋_GB2312" w:hAnsi="新宋体" w:eastAsia="仿宋_GB2312"/>
                <w:b/>
                <w:sz w:val="24"/>
                <w:szCs w:val="24"/>
              </w:rPr>
            </w:pPr>
            <w:r>
              <w:rPr>
                <w:rFonts w:hint="eastAsia" w:ascii="仿宋_GB2312" w:hAnsi="新宋体" w:eastAsia="仿宋_GB2312"/>
                <w:b/>
                <w:sz w:val="24"/>
                <w:szCs w:val="24"/>
              </w:rPr>
              <w:t>抽查数量</w:t>
            </w:r>
          </w:p>
        </w:tc>
        <w:tc>
          <w:tcPr>
            <w:tcW w:w="1117" w:type="dxa"/>
            <w:noWrap w:val="0"/>
            <w:vAlign w:val="center"/>
          </w:tcPr>
          <w:p>
            <w:pPr>
              <w:spacing w:line="560" w:lineRule="exact"/>
              <w:jc w:val="center"/>
              <w:rPr>
                <w:rFonts w:hint="eastAsia" w:ascii="仿宋_GB2312" w:hAnsi="新宋体" w:eastAsia="仿宋_GB2312"/>
                <w:b/>
                <w:sz w:val="24"/>
                <w:szCs w:val="24"/>
              </w:rPr>
            </w:pPr>
            <w:r>
              <w:rPr>
                <w:rFonts w:hint="eastAsia" w:ascii="仿宋_GB2312" w:hAnsi="新宋体" w:eastAsia="仿宋_GB2312"/>
                <w:b/>
                <w:sz w:val="24"/>
                <w:szCs w:val="24"/>
              </w:rPr>
              <w:t>年级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noWrap w:val="0"/>
            <w:vAlign w:val="center"/>
          </w:tcPr>
          <w:p>
            <w:pPr>
              <w:spacing w:line="560" w:lineRule="exact"/>
              <w:jc w:val="center"/>
              <w:rPr>
                <w:rFonts w:hint="eastAsia" w:ascii="仿宋_GB2312" w:hAnsi="新宋体" w:eastAsia="仿宋_GB2312"/>
                <w:sz w:val="24"/>
                <w:szCs w:val="24"/>
              </w:rPr>
            </w:pPr>
          </w:p>
        </w:tc>
        <w:tc>
          <w:tcPr>
            <w:tcW w:w="3575" w:type="dxa"/>
            <w:gridSpan w:val="4"/>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论文评级（份）</w:t>
            </w:r>
          </w:p>
        </w:tc>
        <w:tc>
          <w:tcPr>
            <w:tcW w:w="1080"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优</w:t>
            </w:r>
          </w:p>
        </w:tc>
        <w:tc>
          <w:tcPr>
            <w:tcW w:w="126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良</w:t>
            </w:r>
          </w:p>
        </w:tc>
        <w:tc>
          <w:tcPr>
            <w:tcW w:w="1235"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中</w:t>
            </w:r>
          </w:p>
        </w:tc>
        <w:tc>
          <w:tcPr>
            <w:tcW w:w="1572"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合　格</w:t>
            </w:r>
          </w:p>
        </w:tc>
        <w:tc>
          <w:tcPr>
            <w:tcW w:w="1117" w:type="dxa"/>
            <w:noWrap w:val="0"/>
            <w:tcMar>
              <w:left w:w="28" w:type="dxa"/>
              <w:right w:w="28" w:type="dxa"/>
            </w:tcMar>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教学学院评级</w:t>
            </w:r>
          </w:p>
        </w:tc>
        <w:tc>
          <w:tcPr>
            <w:tcW w:w="1080" w:type="dxa"/>
            <w:noWrap w:val="0"/>
            <w:vAlign w:val="center"/>
          </w:tcPr>
          <w:p>
            <w:pPr>
              <w:spacing w:line="560" w:lineRule="exact"/>
              <w:jc w:val="center"/>
              <w:rPr>
                <w:rFonts w:hint="eastAsia" w:ascii="仿宋_GB2312" w:hAnsi="新宋体" w:eastAsia="仿宋_GB2312"/>
                <w:sz w:val="24"/>
                <w:szCs w:val="24"/>
              </w:rPr>
            </w:pPr>
          </w:p>
        </w:tc>
        <w:tc>
          <w:tcPr>
            <w:tcW w:w="1260" w:type="dxa"/>
            <w:gridSpan w:val="2"/>
            <w:noWrap w:val="0"/>
            <w:vAlign w:val="center"/>
          </w:tcPr>
          <w:p>
            <w:pPr>
              <w:spacing w:line="560" w:lineRule="exact"/>
              <w:jc w:val="center"/>
              <w:rPr>
                <w:rFonts w:hint="eastAsia" w:ascii="仿宋_GB2312" w:hAnsi="新宋体" w:eastAsia="仿宋_GB2312"/>
                <w:sz w:val="24"/>
                <w:szCs w:val="24"/>
              </w:rPr>
            </w:pPr>
          </w:p>
        </w:tc>
        <w:tc>
          <w:tcPr>
            <w:tcW w:w="1235" w:type="dxa"/>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抽查评级</w:t>
            </w:r>
          </w:p>
        </w:tc>
        <w:tc>
          <w:tcPr>
            <w:tcW w:w="1080" w:type="dxa"/>
            <w:noWrap w:val="0"/>
            <w:vAlign w:val="center"/>
          </w:tcPr>
          <w:p>
            <w:pPr>
              <w:spacing w:line="560" w:lineRule="exact"/>
              <w:jc w:val="center"/>
              <w:rPr>
                <w:rFonts w:hint="eastAsia" w:ascii="仿宋_GB2312" w:hAnsi="新宋体" w:eastAsia="仿宋_GB2312"/>
                <w:sz w:val="24"/>
                <w:szCs w:val="24"/>
              </w:rPr>
            </w:pPr>
          </w:p>
        </w:tc>
        <w:tc>
          <w:tcPr>
            <w:tcW w:w="1260" w:type="dxa"/>
            <w:gridSpan w:val="2"/>
            <w:noWrap w:val="0"/>
            <w:vAlign w:val="center"/>
          </w:tcPr>
          <w:p>
            <w:pPr>
              <w:spacing w:line="560" w:lineRule="exact"/>
              <w:jc w:val="center"/>
              <w:rPr>
                <w:rFonts w:hint="eastAsia" w:ascii="仿宋_GB2312" w:hAnsi="新宋体" w:eastAsia="仿宋_GB2312"/>
                <w:sz w:val="24"/>
                <w:szCs w:val="24"/>
              </w:rPr>
            </w:pPr>
          </w:p>
        </w:tc>
        <w:tc>
          <w:tcPr>
            <w:tcW w:w="1235" w:type="dxa"/>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选题（份）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难度过大</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科学合理</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难度过低、专业性不强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观点（设计）（份）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正确</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基本正确</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不正确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内容（份）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翔实</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有实质内容</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内容不实、空洞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是否有独立见解（份）</w:t>
            </w:r>
          </w:p>
        </w:tc>
        <w:tc>
          <w:tcPr>
            <w:tcW w:w="3575" w:type="dxa"/>
            <w:gridSpan w:val="4"/>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有</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3575" w:type="dxa"/>
            <w:gridSpan w:val="4"/>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条理性和逻辑性（份）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条理清楚</w:t>
            </w:r>
          </w:p>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逻辑性强</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条理较清楚</w:t>
            </w:r>
          </w:p>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逻辑性较强</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条理不清楚</w:t>
            </w:r>
          </w:p>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逻辑性不强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表述（份）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准确</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基本准确</w:t>
            </w:r>
          </w:p>
        </w:tc>
        <w:tc>
          <w:tcPr>
            <w:tcW w:w="2689"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不够准确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2689" w:type="dxa"/>
            <w:gridSpan w:val="2"/>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文本（图纸）（份）</w:t>
            </w: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规　范</w:t>
            </w:r>
          </w:p>
        </w:tc>
        <w:tc>
          <w:tcPr>
            <w:tcW w:w="1572"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基本规范</w:t>
            </w:r>
          </w:p>
        </w:tc>
        <w:tc>
          <w:tcPr>
            <w:tcW w:w="1117" w:type="dxa"/>
            <w:noWrap w:val="0"/>
            <w:tcMar>
              <w:left w:w="28" w:type="dxa"/>
              <w:right w:w="28" w:type="dxa"/>
            </w:tcMar>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不规范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格式</w:t>
            </w: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评阅意见</w:t>
            </w: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档案管理</w:t>
            </w: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restart"/>
            <w:noWrap w:val="0"/>
            <w:vAlign w:val="center"/>
          </w:tcPr>
          <w:p>
            <w:pPr>
              <w:spacing w:line="560" w:lineRule="exact"/>
              <w:ind w:left="-105" w:leftChars="-50" w:right="-105" w:rightChars="-50"/>
              <w:jc w:val="center"/>
              <w:rPr>
                <w:rFonts w:hint="eastAsia" w:ascii="仿宋_GB2312" w:hAnsi="新宋体" w:eastAsia="仿宋_GB2312"/>
                <w:sz w:val="24"/>
                <w:szCs w:val="24"/>
              </w:rPr>
            </w:pPr>
            <w:r>
              <w:rPr>
                <w:rFonts w:hint="eastAsia" w:ascii="仿宋_GB2312" w:hAnsi="新宋体" w:eastAsia="仿宋_GB2312"/>
                <w:sz w:val="24"/>
                <w:szCs w:val="24"/>
              </w:rPr>
              <w:t>指导教师评阅情况（份）</w:t>
            </w:r>
          </w:p>
        </w:tc>
        <w:tc>
          <w:tcPr>
            <w:tcW w:w="1745"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评价过高</w:t>
            </w:r>
          </w:p>
        </w:tc>
        <w:tc>
          <w:tcPr>
            <w:tcW w:w="1830" w:type="dxa"/>
            <w:gridSpan w:val="2"/>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评价适当</w:t>
            </w:r>
          </w:p>
        </w:tc>
        <w:tc>
          <w:tcPr>
            <w:tcW w:w="1572"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评价偏低</w:t>
            </w:r>
          </w:p>
        </w:tc>
        <w:tc>
          <w:tcPr>
            <w:tcW w:w="1117" w:type="dxa"/>
            <w:noWrap w:val="0"/>
            <w:vAlign w:val="center"/>
          </w:tcPr>
          <w:p>
            <w:pPr>
              <w:spacing w:line="560" w:lineRule="exact"/>
              <w:jc w:val="center"/>
              <w:rPr>
                <w:rFonts w:hint="eastAsia" w:ascii="仿宋_GB2312" w:hAnsi="新宋体" w:eastAsia="仿宋_GB2312"/>
                <w:sz w:val="24"/>
                <w:szCs w:val="24"/>
              </w:rPr>
            </w:pPr>
            <w:r>
              <w:rPr>
                <w:rFonts w:hint="eastAsia" w:ascii="仿宋_GB2312" w:hAnsi="新宋体" w:eastAsia="仿宋_GB2312"/>
                <w:sz w:val="24"/>
                <w:szCs w:val="24"/>
              </w:rPr>
              <w:t>未予评价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06" w:type="dxa"/>
            <w:vMerge w:val="continue"/>
            <w:noWrap w:val="0"/>
            <w:vAlign w:val="center"/>
          </w:tcPr>
          <w:p>
            <w:pPr>
              <w:spacing w:line="560" w:lineRule="exact"/>
              <w:jc w:val="center"/>
              <w:rPr>
                <w:rFonts w:hint="eastAsia" w:ascii="仿宋_GB2312" w:hAnsi="新宋体" w:eastAsia="仿宋_GB2312"/>
                <w:sz w:val="24"/>
                <w:szCs w:val="24"/>
              </w:rPr>
            </w:pPr>
          </w:p>
        </w:tc>
        <w:tc>
          <w:tcPr>
            <w:tcW w:w="1745" w:type="dxa"/>
            <w:gridSpan w:val="2"/>
            <w:noWrap w:val="0"/>
            <w:vAlign w:val="center"/>
          </w:tcPr>
          <w:p>
            <w:pPr>
              <w:spacing w:line="560" w:lineRule="exact"/>
              <w:jc w:val="center"/>
              <w:rPr>
                <w:rFonts w:hint="eastAsia" w:ascii="仿宋_GB2312" w:hAnsi="新宋体" w:eastAsia="仿宋_GB2312"/>
                <w:sz w:val="24"/>
                <w:szCs w:val="24"/>
              </w:rPr>
            </w:pPr>
          </w:p>
        </w:tc>
        <w:tc>
          <w:tcPr>
            <w:tcW w:w="1830" w:type="dxa"/>
            <w:gridSpan w:val="2"/>
            <w:noWrap w:val="0"/>
            <w:vAlign w:val="center"/>
          </w:tcPr>
          <w:p>
            <w:pPr>
              <w:spacing w:line="560" w:lineRule="exact"/>
              <w:jc w:val="center"/>
              <w:rPr>
                <w:rFonts w:hint="eastAsia" w:ascii="仿宋_GB2312" w:hAnsi="新宋体" w:eastAsia="仿宋_GB2312"/>
                <w:sz w:val="24"/>
                <w:szCs w:val="24"/>
              </w:rPr>
            </w:pPr>
          </w:p>
        </w:tc>
        <w:tc>
          <w:tcPr>
            <w:tcW w:w="1572" w:type="dxa"/>
            <w:noWrap w:val="0"/>
            <w:vAlign w:val="center"/>
          </w:tcPr>
          <w:p>
            <w:pPr>
              <w:spacing w:line="560" w:lineRule="exact"/>
              <w:jc w:val="center"/>
              <w:rPr>
                <w:rFonts w:hint="eastAsia" w:ascii="仿宋_GB2312" w:hAnsi="新宋体" w:eastAsia="仿宋_GB2312"/>
                <w:sz w:val="24"/>
                <w:szCs w:val="24"/>
              </w:rPr>
            </w:pPr>
          </w:p>
        </w:tc>
        <w:tc>
          <w:tcPr>
            <w:tcW w:w="1117" w:type="dxa"/>
            <w:noWrap w:val="0"/>
            <w:vAlign w:val="center"/>
          </w:tcPr>
          <w:p>
            <w:pPr>
              <w:spacing w:line="560" w:lineRule="exact"/>
              <w:jc w:val="center"/>
              <w:rPr>
                <w:rFonts w:hint="eastAsia" w:ascii="仿宋_GB2312" w:hAnsi="新宋体" w:eastAsia="仿宋_GB2312"/>
                <w:sz w:val="24"/>
                <w:szCs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12910" w:hRule="exact"/>
          <w:jc w:val="center"/>
        </w:trPr>
        <w:tc>
          <w:tcPr>
            <w:tcW w:w="8870" w:type="dxa"/>
            <w:gridSpan w:val="7"/>
            <w:noWrap w:val="0"/>
            <w:vAlign w:val="top"/>
          </w:tcPr>
          <w:p>
            <w:pPr>
              <w:widowControl/>
              <w:snapToGrid w:val="0"/>
              <w:spacing w:line="560" w:lineRule="exact"/>
              <w:ind w:firstLine="480" w:firstLineChars="200"/>
              <w:rPr>
                <w:rFonts w:hint="eastAsia" w:ascii="仿宋_GB2312" w:hAnsi="新宋体" w:eastAsia="仿宋_GB2312" w:cs="宋体"/>
                <w:color w:val="000000"/>
                <w:sz w:val="24"/>
                <w:szCs w:val="24"/>
              </w:rPr>
            </w:pPr>
            <w:r>
              <w:rPr>
                <w:rFonts w:hint="eastAsia" w:ascii="仿宋_GB2312" w:hAnsi="新宋体" w:eastAsia="仿宋_GB2312" w:cs="宋体"/>
                <w:color w:val="000000"/>
                <w:sz w:val="24"/>
                <w:szCs w:val="24"/>
              </w:rPr>
              <w:t>总体评价（必须对论文选题的科学性和合理性、文本的规范性、教师指导过程的严谨性、论文的整体质量和水平、论文评分评等的客观性和准确性等作出具体而简要的评价）</w:t>
            </w:r>
          </w:p>
          <w:p>
            <w:pPr>
              <w:widowControl/>
              <w:snapToGrid w:val="0"/>
              <w:spacing w:line="560" w:lineRule="exact"/>
              <w:rPr>
                <w:rFonts w:hint="eastAsia" w:ascii="仿宋_GB2312" w:hAnsi="新宋体" w:eastAsia="仿宋_GB2312" w:cs="宋体"/>
                <w:color w:val="000000"/>
                <w:sz w:val="24"/>
                <w:szCs w:val="24"/>
              </w:rPr>
            </w:pPr>
            <w:r>
              <w:rPr>
                <w:rFonts w:hint="eastAsia" w:ascii="仿宋_GB2312" w:hAnsi="新宋体" w:eastAsia="仿宋_GB2312" w:cs="宋体"/>
                <w:color w:val="000000"/>
                <w:sz w:val="24"/>
                <w:szCs w:val="24"/>
              </w:rPr>
              <w:t>一、优点</w:t>
            </w: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r>
              <w:rPr>
                <w:rFonts w:hint="eastAsia" w:ascii="仿宋_GB2312" w:hAnsi="新宋体" w:eastAsia="仿宋_GB2312" w:cs="宋体"/>
                <w:color w:val="000000"/>
                <w:sz w:val="24"/>
                <w:szCs w:val="24"/>
              </w:rPr>
              <w:t>二、问题与不足</w:t>
            </w: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p>
          <w:p>
            <w:pPr>
              <w:widowControl/>
              <w:snapToGrid w:val="0"/>
              <w:spacing w:line="560" w:lineRule="exact"/>
              <w:rPr>
                <w:rFonts w:hint="eastAsia" w:ascii="仿宋_GB2312" w:hAnsi="新宋体" w:eastAsia="仿宋_GB2312" w:cs="宋体"/>
                <w:color w:val="000000"/>
                <w:sz w:val="24"/>
                <w:szCs w:val="24"/>
              </w:rPr>
            </w:pPr>
            <w:r>
              <w:rPr>
                <w:rFonts w:hint="eastAsia" w:ascii="仿宋_GB2312" w:hAnsi="新宋体" w:eastAsia="仿宋_GB2312" w:cs="宋体"/>
                <w:color w:val="000000"/>
                <w:sz w:val="24"/>
                <w:szCs w:val="24"/>
              </w:rPr>
              <w:t xml:space="preserve">                                                  专家签名：</w:t>
            </w:r>
          </w:p>
          <w:p>
            <w:pPr>
              <w:widowControl/>
              <w:snapToGrid w:val="0"/>
              <w:spacing w:line="560" w:lineRule="exact"/>
              <w:rPr>
                <w:rFonts w:hint="eastAsia" w:ascii="仿宋_GB2312" w:hAnsi="新宋体" w:eastAsia="仿宋_GB2312" w:cs="宋体"/>
                <w:color w:val="000000"/>
                <w:sz w:val="24"/>
                <w:szCs w:val="24"/>
              </w:rPr>
            </w:pPr>
            <w:r>
              <w:rPr>
                <w:rFonts w:hint="eastAsia" w:ascii="仿宋_GB2312" w:hAnsi="新宋体" w:eastAsia="仿宋_GB2312" w:cs="宋体"/>
                <w:color w:val="000000"/>
                <w:sz w:val="24"/>
                <w:szCs w:val="24"/>
              </w:rPr>
              <w:t xml:space="preserve">                                                        年    月    日</w:t>
            </w:r>
          </w:p>
        </w:tc>
      </w:tr>
    </w:tbl>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jc w:val="left"/>
        <w:rPr>
          <w:rFonts w:hint="eastAsia" w:ascii="仿宋" w:hAnsi="仿宋" w:eastAsia="仿宋"/>
          <w:color w:val="auto"/>
          <w:sz w:val="32"/>
          <w:szCs w:val="28"/>
        </w:rPr>
      </w:pPr>
    </w:p>
    <w:p>
      <w:pPr>
        <w:rPr>
          <w:rFonts w:hint="eastAsia" w:ascii="仿宋" w:hAnsi="仿宋" w:eastAsia="仿宋"/>
          <w:color w:val="auto"/>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1A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D0E2B"/>
    <w:rsid w:val="0C891411"/>
    <w:rsid w:val="1B3D0166"/>
    <w:rsid w:val="1BEB0040"/>
    <w:rsid w:val="1E113DFF"/>
    <w:rsid w:val="1E5D2048"/>
    <w:rsid w:val="227A5B35"/>
    <w:rsid w:val="24CD0E2B"/>
    <w:rsid w:val="287765C8"/>
    <w:rsid w:val="2D8B1B89"/>
    <w:rsid w:val="2EAE7AC6"/>
    <w:rsid w:val="390C4E05"/>
    <w:rsid w:val="3B6A2DF0"/>
    <w:rsid w:val="42FE388F"/>
    <w:rsid w:val="447C6B92"/>
    <w:rsid w:val="45845CFB"/>
    <w:rsid w:val="46A15D8A"/>
    <w:rsid w:val="47A60AB9"/>
    <w:rsid w:val="56D215F2"/>
    <w:rsid w:val="608600B4"/>
    <w:rsid w:val="650E55EF"/>
    <w:rsid w:val="679804D1"/>
    <w:rsid w:val="71F827CF"/>
    <w:rsid w:val="73257318"/>
    <w:rsid w:val="76DB3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banner"/>
    <w:basedOn w:val="1"/>
    <w:qFormat/>
    <w:uiPriority w:val="0"/>
    <w:pPr>
      <w:widowControl/>
      <w:spacing w:before="100" w:beforeAutospacing="1" w:after="100" w:afterAutospacing="1" w:line="400" w:lineRule="atLeast"/>
      <w:jc w:val="left"/>
    </w:pPr>
    <w:rPr>
      <w:rFonts w:ascii="_x001A_" w:hAnsi="_x001A_"/>
      <w:snapToGrid/>
      <w:szCs w:val="2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Office_10.1.0.7671_F1E327BC-269C-435d-A152-05C5408002CA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2020-02-17T02:55:00Z</dcterms:created>
  <dc:creator>孙明</dc:creator>
  <lastModifiedBy>孙明</lastModifiedBy>
  <dcterms:modified xsi:type="dcterms:W3CDTF">2020-02-20T16:45:12Z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